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8565" w14:textId="6ED715A4" w:rsidR="00427C1D" w:rsidRPr="00427C1D" w:rsidRDefault="00CC7776" w:rsidP="00427C1D">
      <w:pPr>
        <w:spacing w:after="160" w:line="259" w:lineRule="auto"/>
        <w:jc w:val="center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 xml:space="preserve">RAPORT Z BADANIA ANKIETOWEGO </w:t>
      </w:r>
      <w:r>
        <w:rPr>
          <w:b/>
          <w:sz w:val="24"/>
          <w:szCs w:val="24"/>
        </w:rPr>
        <w:br/>
        <w:t xml:space="preserve">PRZEPROWADZONEGO </w:t>
      </w:r>
      <w:r w:rsidRPr="00427C1D">
        <w:rPr>
          <w:b/>
          <w:sz w:val="24"/>
          <w:szCs w:val="24"/>
        </w:rPr>
        <w:t xml:space="preserve">W RAMACH </w:t>
      </w:r>
      <w:r>
        <w:rPr>
          <w:b/>
          <w:sz w:val="24"/>
          <w:szCs w:val="24"/>
        </w:rPr>
        <w:t>OPRACOWANIA</w:t>
      </w:r>
      <w:r w:rsidRPr="00427C1D">
        <w:rPr>
          <w:b/>
          <w:sz w:val="24"/>
          <w:szCs w:val="24"/>
        </w:rPr>
        <w:t xml:space="preserve"> </w:t>
      </w:r>
    </w:p>
    <w:p w14:paraId="1A0C2CCA" w14:textId="248D1B5B" w:rsidR="00427C1D" w:rsidRPr="00427C1D" w:rsidRDefault="00427C1D" w:rsidP="00427C1D">
      <w:pPr>
        <w:spacing w:after="160" w:line="259" w:lineRule="auto"/>
        <w:jc w:val="center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>„</w:t>
      </w:r>
      <w:r w:rsidR="00542966">
        <w:rPr>
          <w:b/>
          <w:sz w:val="24"/>
          <w:szCs w:val="24"/>
        </w:rPr>
        <w:t>Strategi</w:t>
      </w:r>
      <w:r w:rsidR="00CC7776">
        <w:rPr>
          <w:b/>
          <w:sz w:val="24"/>
          <w:szCs w:val="24"/>
        </w:rPr>
        <w:t>i</w:t>
      </w:r>
      <w:r w:rsidRPr="00427C1D">
        <w:rPr>
          <w:b/>
          <w:sz w:val="24"/>
          <w:szCs w:val="24"/>
        </w:rPr>
        <w:t xml:space="preserve"> Rozwoju </w:t>
      </w:r>
      <w:r w:rsidR="000E3983">
        <w:rPr>
          <w:b/>
          <w:sz w:val="24"/>
          <w:szCs w:val="24"/>
        </w:rPr>
        <w:t>Gminy Dydnia</w:t>
      </w:r>
      <w:r w:rsidR="007A0E29">
        <w:rPr>
          <w:b/>
          <w:sz w:val="24"/>
          <w:szCs w:val="24"/>
        </w:rPr>
        <w:t xml:space="preserve"> </w:t>
      </w:r>
      <w:r w:rsidR="00542966">
        <w:rPr>
          <w:b/>
          <w:sz w:val="24"/>
          <w:szCs w:val="24"/>
        </w:rPr>
        <w:t>na lata 2021-20</w:t>
      </w:r>
      <w:r w:rsidR="000E3983">
        <w:rPr>
          <w:b/>
          <w:sz w:val="24"/>
          <w:szCs w:val="24"/>
        </w:rPr>
        <w:t>30</w:t>
      </w:r>
      <w:r w:rsidRPr="00427C1D">
        <w:rPr>
          <w:b/>
          <w:sz w:val="24"/>
          <w:szCs w:val="24"/>
        </w:rPr>
        <w:t>”</w:t>
      </w:r>
    </w:p>
    <w:p w14:paraId="601F0498" w14:textId="4A74F01D" w:rsidR="00427C1D" w:rsidRPr="00427C1D" w:rsidRDefault="00427C1D" w:rsidP="00427C1D">
      <w:pPr>
        <w:spacing w:after="160" w:line="259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21001270" w14:textId="77777777" w:rsidR="00427C1D" w:rsidRPr="00427C1D" w:rsidRDefault="00427C1D" w:rsidP="00427C1D">
      <w:pPr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>Metodologia badania</w:t>
      </w:r>
    </w:p>
    <w:p w14:paraId="3C01AE7B" w14:textId="61386A0D" w:rsidR="00427C1D" w:rsidRPr="00DD056B" w:rsidRDefault="00427C1D" w:rsidP="00427C1D">
      <w:pPr>
        <w:spacing w:after="160" w:line="259" w:lineRule="auto"/>
        <w:jc w:val="both"/>
        <w:rPr>
          <w:lang w:val="en-US"/>
        </w:rPr>
      </w:pPr>
      <w:r w:rsidRPr="00427C1D">
        <w:t xml:space="preserve">W </w:t>
      </w:r>
      <w:r w:rsidRPr="00404B00">
        <w:t xml:space="preserve">dniach </w:t>
      </w:r>
      <w:r w:rsidR="00404B00" w:rsidRPr="00404B00">
        <w:t>4</w:t>
      </w:r>
      <w:r w:rsidR="007A0E29" w:rsidRPr="00404B00">
        <w:t>.</w:t>
      </w:r>
      <w:r w:rsidR="005A0FF2" w:rsidRPr="00404B00">
        <w:t>09</w:t>
      </w:r>
      <w:r w:rsidR="007D5935" w:rsidRPr="00404B00">
        <w:t>.</w:t>
      </w:r>
      <w:r w:rsidRPr="00404B00">
        <w:t>-</w:t>
      </w:r>
      <w:r w:rsidR="00404B00" w:rsidRPr="00404B00">
        <w:t>27</w:t>
      </w:r>
      <w:r w:rsidR="007A0E29" w:rsidRPr="00404B00">
        <w:t>.</w:t>
      </w:r>
      <w:r w:rsidR="00404B00" w:rsidRPr="00404B00">
        <w:t>09</w:t>
      </w:r>
      <w:r w:rsidR="007D5935" w:rsidRPr="00404B00">
        <w:t>.20</w:t>
      </w:r>
      <w:r w:rsidR="00542966" w:rsidRPr="00404B00">
        <w:t>20</w:t>
      </w:r>
      <w:r w:rsidR="007D5935" w:rsidRPr="00404B00">
        <w:t xml:space="preserve"> roku</w:t>
      </w:r>
      <w:r w:rsidRPr="00404B00">
        <w:t xml:space="preserve"> przeprowadzone</w:t>
      </w:r>
      <w:r w:rsidRPr="005A0FF2">
        <w:t xml:space="preserve"> zostało badanie ankietowe </w:t>
      </w:r>
      <w:r w:rsidR="00DD056B" w:rsidRPr="005A0FF2">
        <w:t>w ramach projektu „</w:t>
      </w:r>
      <w:r w:rsidR="00542966" w:rsidRPr="005A0FF2">
        <w:t>Strategia</w:t>
      </w:r>
      <w:r w:rsidRPr="005A0FF2">
        <w:t xml:space="preserve"> Rozwoju </w:t>
      </w:r>
      <w:r w:rsidR="000E3983">
        <w:t>Gminy Dydnia</w:t>
      </w:r>
      <w:r w:rsidRPr="005A0FF2">
        <w:t xml:space="preserve">”. Badanie było realizowane za pomocą </w:t>
      </w:r>
      <w:r w:rsidR="00542966" w:rsidRPr="005A0FF2">
        <w:rPr>
          <w:lang w:val="en-US"/>
        </w:rPr>
        <w:t>ankiety internetowej CAWI (ang. Computer Assisted Web Interview)</w:t>
      </w:r>
      <w:r w:rsidR="00CC7776">
        <w:rPr>
          <w:lang w:val="en-US"/>
        </w:rPr>
        <w:t xml:space="preserve"> </w:t>
      </w:r>
      <w:r w:rsidR="00542966" w:rsidRPr="005A0FF2">
        <w:rPr>
          <w:lang w:val="en-US"/>
        </w:rPr>
        <w:t xml:space="preserve">oraz </w:t>
      </w:r>
      <w:r w:rsidRPr="005A0FF2">
        <w:t xml:space="preserve">papierowych kwestionariuszy do samodzielnego wypełniania PAPI (ang. </w:t>
      </w:r>
      <w:r w:rsidRPr="005A0FF2">
        <w:rPr>
          <w:lang w:val="en-US"/>
        </w:rPr>
        <w:t>Paper and Pencil Interview).</w:t>
      </w:r>
      <w:r w:rsidRPr="0049513D">
        <w:rPr>
          <w:lang w:val="en-US"/>
        </w:rPr>
        <w:t xml:space="preserve"> </w:t>
      </w:r>
    </w:p>
    <w:p w14:paraId="278F65CC" w14:textId="77777777" w:rsidR="00427C1D" w:rsidRPr="00427C1D" w:rsidRDefault="00427C1D" w:rsidP="00427C1D">
      <w:pPr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>Próba</w:t>
      </w:r>
    </w:p>
    <w:p w14:paraId="331D522B" w14:textId="6F706DF8" w:rsidR="00427C1D" w:rsidRPr="00427C1D" w:rsidRDefault="00427C1D" w:rsidP="00427C1D">
      <w:pPr>
        <w:spacing w:after="160" w:line="259" w:lineRule="auto"/>
        <w:jc w:val="both"/>
      </w:pPr>
      <w:r w:rsidRPr="00427C1D">
        <w:t>W badaniu wzięł</w:t>
      </w:r>
      <w:r w:rsidR="00976ADB">
        <w:t>y</w:t>
      </w:r>
      <w:r w:rsidRPr="00427C1D">
        <w:t xml:space="preserve"> udział łącznie </w:t>
      </w:r>
      <w:r w:rsidR="0019734A">
        <w:t>90</w:t>
      </w:r>
      <w:r w:rsidR="00976ADB">
        <w:t xml:space="preserve"> os</w:t>
      </w:r>
      <w:r w:rsidR="0019734A">
        <w:t>ó</w:t>
      </w:r>
      <w:r w:rsidR="00976ADB">
        <w:t>b</w:t>
      </w:r>
      <w:r w:rsidR="00BF2171">
        <w:t>, wśród których przeważa</w:t>
      </w:r>
      <w:r w:rsidR="0019734A">
        <w:t>ły</w:t>
      </w:r>
      <w:r w:rsidR="00BF2171">
        <w:t xml:space="preserve"> </w:t>
      </w:r>
      <w:r w:rsidR="0019734A">
        <w:t>kobiety</w:t>
      </w:r>
      <w:r w:rsidRPr="00427C1D">
        <w:t xml:space="preserve"> (</w:t>
      </w:r>
      <w:r w:rsidR="007C5794">
        <w:t>5</w:t>
      </w:r>
      <w:r w:rsidR="0019734A">
        <w:t>4</w:t>
      </w:r>
      <w:r w:rsidR="00842CD9">
        <w:t xml:space="preserve"> </w:t>
      </w:r>
      <w:r w:rsidR="00DD056B">
        <w:t>osoby</w:t>
      </w:r>
      <w:r w:rsidRPr="00427C1D">
        <w:t xml:space="preserve">, </w:t>
      </w:r>
      <w:r w:rsidR="0019734A">
        <w:t>60</w:t>
      </w:r>
      <w:r w:rsidR="00BF2171">
        <w:t>,</w:t>
      </w:r>
      <w:r w:rsidR="0019734A">
        <w:t>00</w:t>
      </w:r>
      <w:r w:rsidR="00BF2171">
        <w:t>%).</w:t>
      </w:r>
    </w:p>
    <w:p w14:paraId="06E6014F" w14:textId="1A868772" w:rsidR="00427C1D" w:rsidRDefault="00427C1D" w:rsidP="00427C1D">
      <w:pPr>
        <w:spacing w:after="12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8A0B85">
        <w:rPr>
          <w:b/>
          <w:iCs/>
          <w:noProof/>
          <w:sz w:val="20"/>
          <w:szCs w:val="20"/>
        </w:rPr>
        <w:t>1</w:t>
      </w:r>
      <w:r w:rsidRPr="00427C1D">
        <w:rPr>
          <w:b/>
          <w:iCs/>
          <w:sz w:val="20"/>
          <w:szCs w:val="20"/>
        </w:rPr>
        <w:fldChar w:fldCharType="end"/>
      </w:r>
      <w:r w:rsidR="00DD056B">
        <w:rPr>
          <w:b/>
          <w:iCs/>
          <w:sz w:val="20"/>
          <w:szCs w:val="20"/>
        </w:rPr>
        <w:t xml:space="preserve">. </w:t>
      </w:r>
      <w:r w:rsidR="00AB7576">
        <w:rPr>
          <w:b/>
          <w:iCs/>
          <w:sz w:val="20"/>
          <w:szCs w:val="20"/>
        </w:rPr>
        <w:t>Płeć</w:t>
      </w:r>
      <w:r w:rsidRPr="00427C1D">
        <w:rPr>
          <w:b/>
          <w:iCs/>
          <w:sz w:val="20"/>
          <w:szCs w:val="20"/>
        </w:rPr>
        <w:t xml:space="preserve"> respondentów</w:t>
      </w:r>
    </w:p>
    <w:tbl>
      <w:tblPr>
        <w:tblW w:w="4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107"/>
        <w:gridCol w:w="1107"/>
      </w:tblGrid>
      <w:tr w:rsidR="00DD056B" w:rsidRPr="007F2F93" w14:paraId="30E02D91" w14:textId="77777777" w:rsidTr="00DD056B">
        <w:trPr>
          <w:trHeight w:val="25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454" w14:textId="31A551D9" w:rsidR="00DD056B" w:rsidRPr="007F2F93" w:rsidRDefault="00DD056B" w:rsidP="0011330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FF0" w14:textId="66241733" w:rsidR="00DD056B" w:rsidRPr="007F2F93" w:rsidRDefault="00DD056B" w:rsidP="00DD05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05B" w14:textId="0037F2CB" w:rsidR="00DD056B" w:rsidRPr="007F2F93" w:rsidRDefault="00DD056B" w:rsidP="00DD05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BF2171" w:rsidRPr="007F2F93" w14:paraId="0F491966" w14:textId="77777777" w:rsidTr="00DD056B">
        <w:trPr>
          <w:trHeight w:val="25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D6F7" w14:textId="2B9FABD1" w:rsidR="00BF2171" w:rsidRPr="007F2F93" w:rsidRDefault="00BF2171" w:rsidP="00BF21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AB757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98E" w14:textId="05275E40" w:rsidR="00BF2171" w:rsidRPr="00BF2171" w:rsidRDefault="0019734A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FC6E" w14:textId="44311BE8" w:rsidR="00BF2171" w:rsidRPr="00BF2171" w:rsidRDefault="0019734A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</w:t>
            </w:r>
            <w:r w:rsidR="00BF2171" w:rsidRPr="00BF2171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7C5794">
              <w:rPr>
                <w:rFonts w:asciiTheme="minorHAnsi" w:hAnsiTheme="minorHAnsi" w:cs="Arial"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BF2171" w:rsidRPr="00BF2171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BF2171" w:rsidRPr="007F2F93" w14:paraId="0787BB68" w14:textId="77777777" w:rsidTr="00DD056B">
        <w:trPr>
          <w:trHeight w:val="25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D60" w14:textId="7361CF17" w:rsidR="00BF2171" w:rsidRPr="007F2F93" w:rsidRDefault="00BF2171" w:rsidP="00BF21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AB757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BA5" w14:textId="25D83B33" w:rsidR="00BF2171" w:rsidRPr="00BF2171" w:rsidRDefault="0019734A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361" w14:textId="2F84F9C9" w:rsidR="00BF2171" w:rsidRPr="00BF2171" w:rsidRDefault="0019734A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  <w:r w:rsidR="00BF2171" w:rsidRPr="00BF2171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00</w:t>
            </w:r>
            <w:r w:rsidR="00BF2171" w:rsidRPr="00BF2171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BF2171" w:rsidRPr="007F2F93" w14:paraId="0A5C5CB0" w14:textId="77777777" w:rsidTr="00DD056B">
        <w:trPr>
          <w:trHeight w:val="25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3CCB" w14:textId="77777777" w:rsidR="00BF2171" w:rsidRPr="00A1679E" w:rsidRDefault="00BF2171" w:rsidP="00BF21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A1679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3674" w14:textId="39208036" w:rsidR="00BF2171" w:rsidRPr="00BF2171" w:rsidRDefault="0019734A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B99D" w14:textId="12F94D24" w:rsidR="00BF2171" w:rsidRPr="00BF2171" w:rsidRDefault="00BF2171" w:rsidP="00BF217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F2171">
              <w:rPr>
                <w:rFonts w:asciiTheme="minorHAnsi" w:hAnsiTheme="minorHAnsi" w:cs="Arial"/>
                <w:sz w:val="20"/>
                <w:szCs w:val="20"/>
              </w:rPr>
              <w:t>100,00%</w:t>
            </w:r>
          </w:p>
        </w:tc>
      </w:tr>
    </w:tbl>
    <w:p w14:paraId="145C7A19" w14:textId="791B6F1D" w:rsidR="00427C1D" w:rsidRP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DD056B">
        <w:rPr>
          <w:i/>
        </w:rPr>
        <w:t xml:space="preserve">o: Badanie </w:t>
      </w:r>
      <w:r w:rsidR="00DD056B" w:rsidRPr="005A0FF2">
        <w:rPr>
          <w:i/>
        </w:rPr>
        <w:t xml:space="preserve">ankietowe </w:t>
      </w:r>
      <w:r w:rsidR="007C5794" w:rsidRPr="005A0FF2">
        <w:rPr>
          <w:i/>
        </w:rPr>
        <w:t xml:space="preserve">CAWI i </w:t>
      </w:r>
      <w:r w:rsidR="00DD056B" w:rsidRPr="005A0FF2">
        <w:rPr>
          <w:i/>
        </w:rPr>
        <w:t>PAPI</w:t>
      </w:r>
      <w:r w:rsidRPr="005A0FF2">
        <w:rPr>
          <w:i/>
        </w:rPr>
        <w:t>, N=</w:t>
      </w:r>
      <w:r w:rsidR="0019734A">
        <w:rPr>
          <w:i/>
        </w:rPr>
        <w:t>90</w:t>
      </w:r>
    </w:p>
    <w:p w14:paraId="7D17E60F" w14:textId="0E5B1E30" w:rsidR="00AB7576" w:rsidRPr="00AB7576" w:rsidRDefault="00427C1D" w:rsidP="00AB7576">
      <w:pPr>
        <w:spacing w:after="160" w:line="259" w:lineRule="auto"/>
        <w:jc w:val="both"/>
      </w:pPr>
      <w:r w:rsidRPr="00427C1D">
        <w:t xml:space="preserve">Wśród biorących udział w badaniu przeważały osoby </w:t>
      </w:r>
      <w:r w:rsidR="00AB7576">
        <w:t xml:space="preserve">z wykształceniem </w:t>
      </w:r>
      <w:r w:rsidR="007C5794">
        <w:t>wyższym</w:t>
      </w:r>
      <w:r w:rsidRPr="00427C1D">
        <w:t xml:space="preserve"> – niemalże </w:t>
      </w:r>
      <w:r w:rsidR="001F1BD9">
        <w:t>3</w:t>
      </w:r>
      <w:r w:rsidR="00BF2171">
        <w:t>/</w:t>
      </w:r>
      <w:r w:rsidR="001F1BD9">
        <w:t>5</w:t>
      </w:r>
      <w:r w:rsidRPr="00427C1D">
        <w:t xml:space="preserve"> respondentów miała wykształcenie </w:t>
      </w:r>
      <w:r w:rsidR="00BF2171">
        <w:t>wyższe</w:t>
      </w:r>
      <w:r w:rsidRPr="00427C1D">
        <w:t xml:space="preserve"> (</w:t>
      </w:r>
      <w:r w:rsidR="001F1BD9">
        <w:t>52</w:t>
      </w:r>
      <w:r w:rsidRPr="00427C1D">
        <w:t xml:space="preserve"> os</w:t>
      </w:r>
      <w:r w:rsidR="00AB7576">
        <w:t>ób</w:t>
      </w:r>
      <w:r w:rsidRPr="00427C1D">
        <w:t xml:space="preserve">, </w:t>
      </w:r>
      <w:r w:rsidR="001F1BD9">
        <w:t>57</w:t>
      </w:r>
      <w:r w:rsidR="00BF2171">
        <w:t>,</w:t>
      </w:r>
      <w:r w:rsidR="007C5794">
        <w:t>7</w:t>
      </w:r>
      <w:r w:rsidR="001F1BD9">
        <w:t>8</w:t>
      </w:r>
      <w:r w:rsidRPr="00427C1D">
        <w:t xml:space="preserve">%), </w:t>
      </w:r>
      <w:r w:rsidR="0029127F" w:rsidRPr="00427C1D">
        <w:t>drug</w:t>
      </w:r>
      <w:r w:rsidR="0029127F">
        <w:t>ą</w:t>
      </w:r>
      <w:r w:rsidR="00976ADB">
        <w:t xml:space="preserve"> </w:t>
      </w:r>
      <w:r w:rsidRPr="00427C1D">
        <w:t>co do liczebności była grupa z wykształceniem średnim (</w:t>
      </w:r>
      <w:r w:rsidR="007C5794">
        <w:t>3</w:t>
      </w:r>
      <w:r w:rsidR="001F1BD9">
        <w:t>2</w:t>
      </w:r>
      <w:r w:rsidRPr="00427C1D">
        <w:t xml:space="preserve"> os</w:t>
      </w:r>
      <w:r w:rsidR="00BF2171">
        <w:t xml:space="preserve">ób, </w:t>
      </w:r>
      <w:r w:rsidR="001F1BD9">
        <w:t>35</w:t>
      </w:r>
      <w:r w:rsidRPr="00427C1D">
        <w:t>,</w:t>
      </w:r>
      <w:r w:rsidR="001F1BD9">
        <w:t>56</w:t>
      </w:r>
      <w:r w:rsidR="00AB7576">
        <w:t xml:space="preserve">%). </w:t>
      </w:r>
    </w:p>
    <w:p w14:paraId="29147ADD" w14:textId="23EB0375" w:rsidR="00427C1D" w:rsidRPr="00427C1D" w:rsidRDefault="00427C1D" w:rsidP="00427C1D">
      <w:pPr>
        <w:spacing w:after="12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EF3A7C">
        <w:rPr>
          <w:b/>
          <w:iCs/>
          <w:noProof/>
          <w:sz w:val="20"/>
          <w:szCs w:val="20"/>
        </w:rPr>
        <w:t>2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>. Wykształcenie respondentów</w:t>
      </w:r>
    </w:p>
    <w:tbl>
      <w:tblPr>
        <w:tblW w:w="4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18"/>
        <w:gridCol w:w="918"/>
      </w:tblGrid>
      <w:tr w:rsidR="00FB7886" w:rsidRPr="00FB7886" w14:paraId="57B24EA1" w14:textId="77777777" w:rsidTr="00D62E49">
        <w:trPr>
          <w:trHeight w:val="26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BA4A47" w14:textId="77777777" w:rsidR="00FB7886" w:rsidRPr="00FB7886" w:rsidRDefault="00FB7886" w:rsidP="00FB788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2C03F0A" w14:textId="77777777" w:rsidR="00FB7886" w:rsidRPr="00FB7886" w:rsidRDefault="00FB7886" w:rsidP="00AB75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FB788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43F33C8" w14:textId="77777777" w:rsidR="00FB7886" w:rsidRPr="00FB7886" w:rsidRDefault="00234889" w:rsidP="00AB75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B48E9" w:rsidRPr="00FB7886" w14:paraId="11377BE1" w14:textId="77777777" w:rsidTr="002B48E9">
        <w:trPr>
          <w:trHeight w:val="26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7F618F" w14:textId="5629419C" w:rsidR="002B48E9" w:rsidRPr="00FB7886" w:rsidRDefault="002B48E9" w:rsidP="002B48E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Podstawowe/gimnazjalne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7CE9A72" w14:textId="745A5655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C07C5AE" w14:textId="7C8CBED1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1,11%</w:t>
            </w:r>
          </w:p>
        </w:tc>
      </w:tr>
      <w:tr w:rsidR="002B48E9" w:rsidRPr="00FB7886" w14:paraId="42410C9C" w14:textId="77777777" w:rsidTr="002B48E9">
        <w:trPr>
          <w:trHeight w:val="26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982E26" w14:textId="0332DAE9" w:rsidR="002B48E9" w:rsidRPr="00FB7886" w:rsidRDefault="002B48E9" w:rsidP="002B48E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12F1F41" w14:textId="3E63C173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7CEC3FA" w14:textId="0AC0C2F0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5,56%</w:t>
            </w:r>
          </w:p>
        </w:tc>
      </w:tr>
      <w:tr w:rsidR="002B48E9" w:rsidRPr="00FB7886" w14:paraId="374AFA77" w14:textId="77777777" w:rsidTr="002B48E9">
        <w:trPr>
          <w:trHeight w:val="26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8D9EC1" w14:textId="365A0022" w:rsidR="002B48E9" w:rsidRPr="00FB7886" w:rsidRDefault="002B48E9" w:rsidP="002B48E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Średnie 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8102309" w14:textId="392393FE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E1CF0B3" w14:textId="5568FDBF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35,56%</w:t>
            </w:r>
          </w:p>
        </w:tc>
      </w:tr>
      <w:tr w:rsidR="002B48E9" w:rsidRPr="00FB7886" w14:paraId="7ED4E118" w14:textId="77777777" w:rsidTr="002B48E9">
        <w:trPr>
          <w:trHeight w:val="26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776F63" w14:textId="76541CBD" w:rsidR="002B48E9" w:rsidRPr="00FB7886" w:rsidRDefault="002B48E9" w:rsidP="002B48E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AF8FFBB" w14:textId="000176D0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D778FCF" w14:textId="1B4AE698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57,78%</w:t>
            </w:r>
          </w:p>
        </w:tc>
      </w:tr>
      <w:tr w:rsidR="002B48E9" w:rsidRPr="00FB7886" w14:paraId="256551EC" w14:textId="77777777" w:rsidTr="002B48E9">
        <w:trPr>
          <w:trHeight w:val="26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CC614F" w14:textId="11F3C19C" w:rsidR="002B48E9" w:rsidRPr="00FB7886" w:rsidRDefault="002B48E9" w:rsidP="002B48E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6BDFCD4" w14:textId="61C870A9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198FE6C" w14:textId="76EDF338" w:rsidR="002B48E9" w:rsidRPr="00B26F6D" w:rsidRDefault="002B48E9" w:rsidP="002B48E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B48E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0,00%</w:t>
            </w:r>
          </w:p>
        </w:tc>
      </w:tr>
      <w:tr w:rsidR="00BF2171" w:rsidRPr="00FB7886" w14:paraId="55DEA3B1" w14:textId="77777777" w:rsidTr="00D62E49">
        <w:trPr>
          <w:trHeight w:val="26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500C0A" w14:textId="4E6C67DF" w:rsidR="00BF2171" w:rsidRPr="00FB7886" w:rsidRDefault="00BF2171" w:rsidP="00BF21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0EAB6F9" w14:textId="229B15F5" w:rsidR="00BF2171" w:rsidRPr="00BF2171" w:rsidRDefault="001F1BD9" w:rsidP="00BF2171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77A320A" w14:textId="6B61898D" w:rsidR="00BF2171" w:rsidRPr="00BF2171" w:rsidRDefault="00BF2171" w:rsidP="00BF2171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F2171">
              <w:rPr>
                <w:rFonts w:asciiTheme="minorHAnsi" w:hAnsiTheme="minorHAnsi" w:cs="Arial"/>
                <w:sz w:val="20"/>
                <w:szCs w:val="20"/>
              </w:rPr>
              <w:t>100,00%</w:t>
            </w:r>
          </w:p>
        </w:tc>
      </w:tr>
    </w:tbl>
    <w:p w14:paraId="593A9304" w14:textId="2C760B38" w:rsidR="00427C1D" w:rsidRP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AB7576">
        <w:rPr>
          <w:i/>
        </w:rPr>
        <w:t xml:space="preserve">o: Badanie ankietowe </w:t>
      </w:r>
      <w:r w:rsidR="00B26F6D" w:rsidRPr="00EF3A7C">
        <w:rPr>
          <w:i/>
        </w:rPr>
        <w:t>CAWI i PAPI</w:t>
      </w:r>
      <w:r w:rsidR="00B26F6D" w:rsidRPr="00427C1D">
        <w:rPr>
          <w:i/>
        </w:rPr>
        <w:t>, N=</w:t>
      </w:r>
      <w:r w:rsidR="002B48E9">
        <w:rPr>
          <w:i/>
        </w:rPr>
        <w:t>90</w:t>
      </w:r>
    </w:p>
    <w:p w14:paraId="3726F8DD" w14:textId="08728A3D" w:rsidR="00427C1D" w:rsidRPr="00427C1D" w:rsidRDefault="00427C1D" w:rsidP="00427C1D">
      <w:pPr>
        <w:spacing w:after="160" w:line="259" w:lineRule="auto"/>
        <w:jc w:val="both"/>
      </w:pPr>
      <w:r w:rsidRPr="00427C1D">
        <w:t xml:space="preserve">Jeśli chodzi o sytuację na rynku pracy, </w:t>
      </w:r>
      <w:r w:rsidR="00E12CEE">
        <w:t xml:space="preserve">zdecydowanie </w:t>
      </w:r>
      <w:r w:rsidRPr="00427C1D">
        <w:t>najliczn</w:t>
      </w:r>
      <w:r w:rsidR="00AA6DA7">
        <w:t>i</w:t>
      </w:r>
      <w:r w:rsidR="00BF2171">
        <w:t>ejszą grupę stanowili pracujący</w:t>
      </w:r>
      <w:r w:rsidRPr="00427C1D">
        <w:t xml:space="preserve"> (</w:t>
      </w:r>
      <w:r w:rsidR="00E12CEE">
        <w:t>7</w:t>
      </w:r>
      <w:r w:rsidR="001F1BD9">
        <w:t>0</w:t>
      </w:r>
      <w:r w:rsidRPr="00427C1D">
        <w:t xml:space="preserve"> os</w:t>
      </w:r>
      <w:r w:rsidR="00BF2171">
        <w:t>ób</w:t>
      </w:r>
      <w:r w:rsidRPr="00427C1D">
        <w:t xml:space="preserve">, </w:t>
      </w:r>
      <w:r w:rsidR="00E12CEE">
        <w:t>7</w:t>
      </w:r>
      <w:r w:rsidR="001F1BD9">
        <w:t>7</w:t>
      </w:r>
      <w:r w:rsidR="00BF2171">
        <w:t>,</w:t>
      </w:r>
      <w:r w:rsidR="001F1BD9">
        <w:t>78</w:t>
      </w:r>
      <w:r w:rsidR="0093474C">
        <w:t>%)</w:t>
      </w:r>
      <w:r w:rsidRPr="00427C1D">
        <w:t>.</w:t>
      </w:r>
      <w:r w:rsidR="0093474C">
        <w:t xml:space="preserve"> </w:t>
      </w:r>
      <w:r w:rsidR="00AA6DA7">
        <w:t>D</w:t>
      </w:r>
      <w:r w:rsidR="00AA6DA7" w:rsidRPr="00427C1D">
        <w:t>rug</w:t>
      </w:r>
      <w:r w:rsidR="00AA6DA7">
        <w:t xml:space="preserve">ą </w:t>
      </w:r>
      <w:r w:rsidR="00AA6DA7" w:rsidRPr="00427C1D">
        <w:t>co do liczebności by</w:t>
      </w:r>
      <w:r w:rsidR="001F1BD9">
        <w:t>li emeryci</w:t>
      </w:r>
      <w:r w:rsidR="00AA6DA7" w:rsidRPr="00427C1D">
        <w:t xml:space="preserve"> (</w:t>
      </w:r>
      <w:r w:rsidR="001F1BD9">
        <w:t>6</w:t>
      </w:r>
      <w:r w:rsidR="00AA6DA7" w:rsidRPr="00427C1D">
        <w:t xml:space="preserve"> os</w:t>
      </w:r>
      <w:r w:rsidR="00093B04">
        <w:t xml:space="preserve">ób, </w:t>
      </w:r>
      <w:r w:rsidR="001F1BD9">
        <w:t>6</w:t>
      </w:r>
      <w:r w:rsidR="00AA6DA7" w:rsidRPr="00427C1D">
        <w:t>,</w:t>
      </w:r>
      <w:r w:rsidR="001F1BD9">
        <w:t>67</w:t>
      </w:r>
      <w:r w:rsidR="00AA6DA7">
        <w:t>%)</w:t>
      </w:r>
      <w:r w:rsidR="00657959">
        <w:t>.</w:t>
      </w:r>
    </w:p>
    <w:p w14:paraId="1365A20C" w14:textId="7C39774A" w:rsidR="001F1BD9" w:rsidRDefault="00427C1D" w:rsidP="00427C1D">
      <w:pPr>
        <w:spacing w:after="12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EF3A7C">
        <w:rPr>
          <w:b/>
          <w:iCs/>
          <w:noProof/>
          <w:sz w:val="20"/>
          <w:szCs w:val="20"/>
        </w:rPr>
        <w:t>3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>. Status zawodowy respondentów</w:t>
      </w:r>
    </w:p>
    <w:tbl>
      <w:tblPr>
        <w:tblW w:w="6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635"/>
        <w:gridCol w:w="960"/>
      </w:tblGrid>
      <w:tr w:rsidR="00765D93" w:rsidRPr="00765D93" w14:paraId="2FDE2C28" w14:textId="77777777" w:rsidTr="00765D93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1426" w14:textId="77777777" w:rsidR="00765D93" w:rsidRPr="00765D93" w:rsidRDefault="00765D93" w:rsidP="00765D9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E9DE" w14:textId="77777777" w:rsidR="00765D93" w:rsidRPr="00765D93" w:rsidRDefault="004A4B90" w:rsidP="00AA6D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</w:t>
            </w:r>
            <w:r w:rsidR="00765D93" w:rsidRPr="00765D9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159" w14:textId="77777777" w:rsidR="00765D93" w:rsidRPr="00765D93" w:rsidRDefault="00234889" w:rsidP="00AA6D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1F1BD9" w:rsidRPr="00765D93" w14:paraId="1B91F54B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D8CA" w14:textId="73BC77CE" w:rsidR="001F1BD9" w:rsidRPr="00765D93" w:rsidRDefault="001F1BD9" w:rsidP="001F1B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Nauka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AA8E" w14:textId="45F305BA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616" w14:textId="08412E56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5,56%</w:t>
            </w:r>
          </w:p>
        </w:tc>
      </w:tr>
      <w:tr w:rsidR="001F1BD9" w:rsidRPr="00765D93" w14:paraId="3A9E0792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F5EB" w14:textId="3C0ED4CB" w:rsidR="001F1BD9" w:rsidRPr="00765D93" w:rsidRDefault="001F1BD9" w:rsidP="001F1B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Emerytura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0A3" w14:textId="2D3BE5EA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1602" w14:textId="2D760E06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6,67%</w:t>
            </w:r>
          </w:p>
        </w:tc>
      </w:tr>
      <w:tr w:rsidR="001F1BD9" w:rsidRPr="00765D93" w14:paraId="09A0EC47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3265" w14:textId="55EFD99A" w:rsidR="001F1BD9" w:rsidRPr="00765D93" w:rsidRDefault="001F1BD9" w:rsidP="001F1B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Renta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C0A" w14:textId="41C99539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FBF5" w14:textId="436E4831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0,00%</w:t>
            </w:r>
          </w:p>
        </w:tc>
      </w:tr>
      <w:tr w:rsidR="001F1BD9" w:rsidRPr="00765D93" w14:paraId="2B597799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672" w14:textId="7BEE074B" w:rsidR="001F1BD9" w:rsidRPr="00765D93" w:rsidRDefault="001F1BD9" w:rsidP="001F1B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Bezrobocie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EEA1" w14:textId="4E75F09C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335" w14:textId="02A87AF9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5,56%</w:t>
            </w:r>
          </w:p>
        </w:tc>
      </w:tr>
      <w:tr w:rsidR="001F1BD9" w:rsidRPr="00765D93" w14:paraId="7EAF1F98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FF6D" w14:textId="2321117D" w:rsidR="001F1BD9" w:rsidRPr="00765D93" w:rsidRDefault="001F1BD9" w:rsidP="001F1B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Praca najemna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C015" w14:textId="4FCCC9FA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A40C" w14:textId="681EB860" w:rsidR="001F1BD9" w:rsidRPr="00765D93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56,67%</w:t>
            </w:r>
          </w:p>
        </w:tc>
      </w:tr>
      <w:tr w:rsidR="001F1BD9" w:rsidRPr="00765D93" w14:paraId="4F4513DE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D5A7" w14:textId="4C8493A9" w:rsidR="001F1BD9" w:rsidRPr="00BF2171" w:rsidRDefault="001F1BD9" w:rsidP="001F1B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Praca na własny rachunek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574F" w14:textId="15219C41" w:rsidR="001F1BD9" w:rsidRPr="00E12CEE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646B" w14:textId="36EE0B01" w:rsidR="001F1BD9" w:rsidRPr="00E12CEE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17,78%</w:t>
            </w:r>
          </w:p>
        </w:tc>
      </w:tr>
      <w:tr w:rsidR="001F1BD9" w:rsidRPr="00765D93" w14:paraId="6006BB17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00B3" w14:textId="13D47E4A" w:rsidR="001F1BD9" w:rsidRPr="00BF2171" w:rsidRDefault="001F1BD9" w:rsidP="001F1B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Praca w indywidualnym gospodarstwie rolnym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BC00" w14:textId="59FD8677" w:rsidR="001F1BD9" w:rsidRPr="00E12CEE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3833" w14:textId="6F748F56" w:rsidR="001F1BD9" w:rsidRPr="00E12CEE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3,33%</w:t>
            </w:r>
          </w:p>
        </w:tc>
      </w:tr>
      <w:tr w:rsidR="001F1BD9" w:rsidRPr="00765D93" w14:paraId="04D1B39F" w14:textId="77777777" w:rsidTr="00122E5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146A" w14:textId="610661E8" w:rsidR="001F1BD9" w:rsidRPr="001F1BD9" w:rsidRDefault="001F1BD9" w:rsidP="001F1B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1D0B" w14:textId="4CE6E190" w:rsidR="001F1BD9" w:rsidRPr="001F1BD9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169F" w14:textId="0CD89EF5" w:rsidR="001F1BD9" w:rsidRPr="001F1BD9" w:rsidRDefault="001F1BD9" w:rsidP="001F1B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4,44%</w:t>
            </w:r>
          </w:p>
        </w:tc>
      </w:tr>
      <w:tr w:rsidR="00765D93" w:rsidRPr="00765D93" w14:paraId="1E089956" w14:textId="77777777" w:rsidTr="00765D93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932" w14:textId="39441CD8" w:rsidR="00765D93" w:rsidRPr="00765D93" w:rsidRDefault="00BE1D50" w:rsidP="00765D9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5ED" w14:textId="13C2B99C" w:rsidR="00765D93" w:rsidRPr="00765D93" w:rsidRDefault="001F1BD9" w:rsidP="00765D9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D8DE" w14:textId="6D56D100" w:rsidR="00765D93" w:rsidRPr="00765D93" w:rsidRDefault="00765D93" w:rsidP="00765D9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65D9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100,0</w:t>
            </w:r>
            <w:r w:rsidR="001F1BD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  <w:r w:rsidRPr="00765D9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%</w:t>
            </w:r>
          </w:p>
        </w:tc>
      </w:tr>
    </w:tbl>
    <w:p w14:paraId="4AEF462B" w14:textId="7CF45CC4" w:rsidR="00427C1D" w:rsidRP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AA6DA7">
        <w:rPr>
          <w:i/>
        </w:rPr>
        <w:t>o: Badanie ankietowe</w:t>
      </w:r>
      <w:r w:rsidR="00E12CEE">
        <w:rPr>
          <w:i/>
        </w:rPr>
        <w:t xml:space="preserve"> </w:t>
      </w:r>
      <w:r w:rsidR="00E12CEE" w:rsidRPr="00EF3A7C">
        <w:rPr>
          <w:i/>
        </w:rPr>
        <w:t>CAWI i</w:t>
      </w:r>
      <w:r w:rsidR="00AA6DA7" w:rsidRPr="00EF3A7C">
        <w:rPr>
          <w:i/>
        </w:rPr>
        <w:t xml:space="preserve"> PAPI</w:t>
      </w:r>
      <w:r w:rsidRPr="00427C1D">
        <w:rPr>
          <w:i/>
        </w:rPr>
        <w:t>, N=</w:t>
      </w:r>
      <w:r w:rsidR="001F1BD9">
        <w:rPr>
          <w:i/>
        </w:rPr>
        <w:t>90</w:t>
      </w:r>
    </w:p>
    <w:p w14:paraId="5863B5DD" w14:textId="772DD7AF" w:rsidR="00427C1D" w:rsidRPr="00427C1D" w:rsidRDefault="00093B04" w:rsidP="00427C1D">
      <w:pPr>
        <w:spacing w:after="160" w:line="259" w:lineRule="auto"/>
        <w:jc w:val="both"/>
      </w:pPr>
      <w:r>
        <w:t xml:space="preserve">Blisko </w:t>
      </w:r>
      <w:r w:rsidR="0091102C">
        <w:t>78</w:t>
      </w:r>
      <w:r>
        <w:t>,</w:t>
      </w:r>
      <w:r w:rsidR="0091102C">
        <w:t>89</w:t>
      </w:r>
      <w:r w:rsidR="00AA6DA7">
        <w:t>%</w:t>
      </w:r>
      <w:r w:rsidR="00427C1D" w:rsidRPr="00427C1D">
        <w:t xml:space="preserve"> osób biorących udział w badaniu mieszka w </w:t>
      </w:r>
      <w:r w:rsidR="008B40AA">
        <w:t>Gminie Dydnia</w:t>
      </w:r>
      <w:r w:rsidR="00427C1D" w:rsidRPr="00427C1D">
        <w:t xml:space="preserve"> </w:t>
      </w:r>
      <w:r w:rsidR="0091102C">
        <w:t>dłużej niż 15 lat</w:t>
      </w:r>
      <w:r w:rsidR="00427C1D" w:rsidRPr="00427C1D">
        <w:t xml:space="preserve">. Jest to bardzo ważne z punktu widzenia merytorycznej wartości badania – osoby te bardzo dobrze znają </w:t>
      </w:r>
      <w:r w:rsidR="00776368">
        <w:t>gminę</w:t>
      </w:r>
      <w:r w:rsidR="007B5CF1">
        <w:t>, je</w:t>
      </w:r>
      <w:r w:rsidR="00776368">
        <w:t>j</w:t>
      </w:r>
      <w:r w:rsidR="00427C1D" w:rsidRPr="00427C1D">
        <w:t xml:space="preserve"> atuty i słabośc</w:t>
      </w:r>
      <w:r w:rsidR="00AA6DA7">
        <w:t>i, a także potrzeby rozwojowe</w:t>
      </w:r>
      <w:r w:rsidR="006A78A5">
        <w:t>.</w:t>
      </w:r>
    </w:p>
    <w:p w14:paraId="0444BBC0" w14:textId="3BF2B750" w:rsidR="00427C1D" w:rsidRPr="00427C1D" w:rsidRDefault="00427C1D" w:rsidP="00427C1D">
      <w:pPr>
        <w:spacing w:after="12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EF3A7C">
        <w:rPr>
          <w:b/>
          <w:iCs/>
          <w:noProof/>
          <w:sz w:val="20"/>
          <w:szCs w:val="20"/>
        </w:rPr>
        <w:t>4</w:t>
      </w:r>
      <w:r w:rsidRPr="00427C1D">
        <w:rPr>
          <w:b/>
          <w:iCs/>
          <w:sz w:val="20"/>
          <w:szCs w:val="20"/>
        </w:rPr>
        <w:fldChar w:fldCharType="end"/>
      </w:r>
      <w:r w:rsidR="006B7D66">
        <w:rPr>
          <w:b/>
          <w:iCs/>
          <w:sz w:val="20"/>
          <w:szCs w:val="20"/>
        </w:rPr>
        <w:t>.</w:t>
      </w:r>
      <w:r w:rsidRPr="00427C1D">
        <w:rPr>
          <w:b/>
          <w:iCs/>
          <w:sz w:val="20"/>
          <w:szCs w:val="20"/>
        </w:rPr>
        <w:t xml:space="preserve"> </w:t>
      </w:r>
      <w:r w:rsidR="008B40AA">
        <w:rPr>
          <w:b/>
          <w:iCs/>
          <w:sz w:val="20"/>
          <w:szCs w:val="20"/>
        </w:rPr>
        <w:t>Długość</w:t>
      </w:r>
      <w:r w:rsidRPr="00427C1D">
        <w:rPr>
          <w:b/>
          <w:iCs/>
          <w:sz w:val="20"/>
          <w:szCs w:val="20"/>
        </w:rPr>
        <w:t xml:space="preserve"> zamieszkiwania w </w:t>
      </w:r>
      <w:r w:rsidR="007E6BEB">
        <w:rPr>
          <w:b/>
          <w:iCs/>
          <w:sz w:val="20"/>
          <w:szCs w:val="20"/>
        </w:rPr>
        <w:t>Gminie Dydnia</w:t>
      </w:r>
      <w:r w:rsidRPr="00427C1D">
        <w:rPr>
          <w:b/>
          <w:iCs/>
          <w:sz w:val="20"/>
          <w:szCs w:val="20"/>
        </w:rPr>
        <w:t xml:space="preserve"> </w:t>
      </w:r>
    </w:p>
    <w:tbl>
      <w:tblPr>
        <w:tblW w:w="4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247"/>
        <w:gridCol w:w="1247"/>
      </w:tblGrid>
      <w:tr w:rsidR="00234889" w:rsidRPr="00234889" w14:paraId="5EE8C3BC" w14:textId="77777777" w:rsidTr="00234889">
        <w:trPr>
          <w:trHeight w:val="25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DC5" w14:textId="77777777" w:rsidR="00234889" w:rsidRPr="00234889" w:rsidRDefault="00234889" w:rsidP="0023488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12C" w14:textId="77777777" w:rsidR="00234889" w:rsidRPr="00234889" w:rsidRDefault="00234889" w:rsidP="00AA6D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053" w14:textId="77777777" w:rsidR="00234889" w:rsidRPr="00234889" w:rsidRDefault="00234889" w:rsidP="00AA6D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91102C" w:rsidRPr="00234889" w14:paraId="2A499C8D" w14:textId="77777777" w:rsidTr="00122E56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D5B" w14:textId="3B0EC512" w:rsidR="0091102C" w:rsidRPr="00234889" w:rsidRDefault="0091102C" w:rsidP="0091102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Poniżej 5 lat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61C6" w14:textId="7E902F8C" w:rsidR="0091102C" w:rsidRPr="00AA6DA7" w:rsidRDefault="0091102C" w:rsidP="009110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E157" w14:textId="62976452" w:rsidR="0091102C" w:rsidRPr="00234889" w:rsidRDefault="0091102C" w:rsidP="009110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8,89%</w:t>
            </w:r>
          </w:p>
        </w:tc>
      </w:tr>
      <w:tr w:rsidR="0091102C" w:rsidRPr="00234889" w14:paraId="64926A94" w14:textId="77777777" w:rsidTr="00122E56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8DCF" w14:textId="789D27FC" w:rsidR="0091102C" w:rsidRPr="00234889" w:rsidRDefault="0091102C" w:rsidP="0091102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5-10 lat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E11" w14:textId="55F4E1EE" w:rsidR="0091102C" w:rsidRPr="00234889" w:rsidRDefault="0091102C" w:rsidP="009110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2349" w14:textId="5683CF34" w:rsidR="0091102C" w:rsidRPr="00234889" w:rsidRDefault="0091102C" w:rsidP="009110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4,44%</w:t>
            </w:r>
          </w:p>
        </w:tc>
      </w:tr>
      <w:tr w:rsidR="0091102C" w:rsidRPr="00234889" w14:paraId="5CB2D4D2" w14:textId="77777777" w:rsidTr="00122E56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E7F0" w14:textId="19B0DD5A" w:rsidR="0091102C" w:rsidRDefault="0091102C" w:rsidP="0091102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11-15 lat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9B82" w14:textId="312888E8" w:rsidR="0091102C" w:rsidRDefault="0091102C" w:rsidP="009110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A257" w14:textId="7B19037F" w:rsidR="0091102C" w:rsidRDefault="0091102C" w:rsidP="009110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7,78%</w:t>
            </w:r>
          </w:p>
        </w:tc>
      </w:tr>
      <w:tr w:rsidR="0091102C" w:rsidRPr="00234889" w14:paraId="132AA5C5" w14:textId="77777777" w:rsidTr="00122E56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51E5" w14:textId="09A80977" w:rsidR="0091102C" w:rsidRDefault="0091102C" w:rsidP="0091102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Dłużej niż 15 lat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9A5A" w14:textId="0E7FC41E" w:rsidR="0091102C" w:rsidRDefault="0091102C" w:rsidP="009110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5892" w14:textId="56937AFA" w:rsidR="0091102C" w:rsidRDefault="0091102C" w:rsidP="0091102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78,89%</w:t>
            </w:r>
          </w:p>
        </w:tc>
      </w:tr>
      <w:tr w:rsidR="00234889" w:rsidRPr="00234889" w14:paraId="02357365" w14:textId="77777777" w:rsidTr="00234889">
        <w:trPr>
          <w:trHeight w:val="2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E3E" w14:textId="141CE88C" w:rsidR="00234889" w:rsidRPr="00234889" w:rsidRDefault="00BE1D50" w:rsidP="0023488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532B" w14:textId="2275F523" w:rsidR="00234889" w:rsidRPr="00234889" w:rsidRDefault="0091102C" w:rsidP="0023488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FE0" w14:textId="224A0134" w:rsidR="00234889" w:rsidRPr="00234889" w:rsidRDefault="00234889" w:rsidP="0023488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100,0</w:t>
            </w:r>
            <w:r w:rsidR="0091102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%</w:t>
            </w:r>
          </w:p>
        </w:tc>
      </w:tr>
    </w:tbl>
    <w:p w14:paraId="579893F3" w14:textId="4A080965" w:rsidR="00427C1D" w:rsidRP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Źródło: B</w:t>
      </w:r>
      <w:r w:rsidR="00093B04">
        <w:rPr>
          <w:i/>
        </w:rPr>
        <w:t>adanie ankiet</w:t>
      </w:r>
      <w:r w:rsidR="00093B04" w:rsidRPr="005A0FF2">
        <w:rPr>
          <w:i/>
        </w:rPr>
        <w:t xml:space="preserve">owe </w:t>
      </w:r>
      <w:r w:rsidR="00E12CEE" w:rsidRPr="005A0FF2">
        <w:rPr>
          <w:i/>
        </w:rPr>
        <w:t>CAWI i PAPI, N</w:t>
      </w:r>
      <w:r w:rsidR="00E12CEE" w:rsidRPr="00427C1D">
        <w:rPr>
          <w:i/>
        </w:rPr>
        <w:t>=</w:t>
      </w:r>
      <w:r w:rsidR="0091102C">
        <w:rPr>
          <w:i/>
        </w:rPr>
        <w:t>90</w:t>
      </w:r>
    </w:p>
    <w:p w14:paraId="1370BC35" w14:textId="75F6AE61" w:rsidR="00CC7D4F" w:rsidRDefault="00CC7D4F" w:rsidP="00427C1D">
      <w:pPr>
        <w:spacing w:after="160" w:line="259" w:lineRule="auto"/>
        <w:jc w:val="both"/>
      </w:pPr>
      <w:r>
        <w:t xml:space="preserve">Najwięcej spośród osób biorących udział w ankiecie mieszka w </w:t>
      </w:r>
      <w:r w:rsidR="000C70A3">
        <w:t xml:space="preserve">miejscowości </w:t>
      </w:r>
      <w:r w:rsidR="007E6BEB">
        <w:t>Dydnia</w:t>
      </w:r>
      <w:r w:rsidR="00093B04">
        <w:t xml:space="preserve"> (</w:t>
      </w:r>
      <w:r w:rsidR="007E6BEB">
        <w:t>24</w:t>
      </w:r>
      <w:r w:rsidR="00093B04">
        <w:t> os</w:t>
      </w:r>
      <w:r w:rsidR="007E6BEB">
        <w:t>oby</w:t>
      </w:r>
      <w:r w:rsidR="00093B04">
        <w:t xml:space="preserve">, </w:t>
      </w:r>
      <w:r w:rsidR="007E6BEB">
        <w:t>26</w:t>
      </w:r>
      <w:r w:rsidR="00093B04">
        <w:t>,</w:t>
      </w:r>
      <w:r w:rsidR="007E6BEB">
        <w:t>67</w:t>
      </w:r>
      <w:r>
        <w:t xml:space="preserve">%), zaś najmniej w </w:t>
      </w:r>
      <w:r w:rsidR="007E6BEB">
        <w:t>Grabówce i Uluczu</w:t>
      </w:r>
      <w:r w:rsidR="00093B04">
        <w:t xml:space="preserve"> (</w:t>
      </w:r>
      <w:r w:rsidR="007E6BEB">
        <w:t>po 1</w:t>
      </w:r>
      <w:r w:rsidR="00093B04">
        <w:t xml:space="preserve"> osob</w:t>
      </w:r>
      <w:r w:rsidR="007E6BEB">
        <w:t>ie</w:t>
      </w:r>
      <w:r w:rsidR="00093B04">
        <w:t xml:space="preserve">, </w:t>
      </w:r>
      <w:r w:rsidR="007E6BEB">
        <w:t>1,11</w:t>
      </w:r>
      <w:r>
        <w:t>%).</w:t>
      </w:r>
      <w:r w:rsidR="00093B04">
        <w:t xml:space="preserve"> </w:t>
      </w:r>
      <w:r w:rsidR="000C70A3">
        <w:t xml:space="preserve">Tylko </w:t>
      </w:r>
      <w:r w:rsidR="007E6BEB">
        <w:t>5</w:t>
      </w:r>
      <w:r w:rsidR="00093B04">
        <w:t xml:space="preserve"> os</w:t>
      </w:r>
      <w:r w:rsidR="005A0FF2">
        <w:t>ó</w:t>
      </w:r>
      <w:r w:rsidR="00093B04">
        <w:t xml:space="preserve">b </w:t>
      </w:r>
      <w:r w:rsidR="00F04A54">
        <w:t xml:space="preserve">mieszka poza </w:t>
      </w:r>
      <w:r w:rsidR="000C70A3">
        <w:t>G</w:t>
      </w:r>
      <w:r w:rsidR="007E6BEB">
        <w:t>miną</w:t>
      </w:r>
      <w:r w:rsidR="000C70A3">
        <w:t xml:space="preserve"> Dydnia, co oznacza, że ponad 94% ankietowanych to mieszkańcy gminy.</w:t>
      </w:r>
    </w:p>
    <w:p w14:paraId="66F0E916" w14:textId="28442D5C" w:rsidR="00427C1D" w:rsidRDefault="00427C1D" w:rsidP="00427C1D">
      <w:pPr>
        <w:spacing w:after="12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EF3A7C">
        <w:rPr>
          <w:b/>
          <w:iCs/>
          <w:noProof/>
          <w:sz w:val="20"/>
          <w:szCs w:val="20"/>
        </w:rPr>
        <w:t>5</w:t>
      </w:r>
      <w:r w:rsidRPr="00427C1D">
        <w:rPr>
          <w:b/>
          <w:iCs/>
          <w:sz w:val="20"/>
          <w:szCs w:val="20"/>
        </w:rPr>
        <w:fldChar w:fldCharType="end"/>
      </w:r>
      <w:r w:rsidR="00AA6DA7">
        <w:rPr>
          <w:b/>
          <w:iCs/>
          <w:sz w:val="20"/>
          <w:szCs w:val="20"/>
        </w:rPr>
        <w:t>. Gmina</w:t>
      </w:r>
      <w:r w:rsidRPr="00427C1D">
        <w:rPr>
          <w:b/>
          <w:iCs/>
          <w:sz w:val="20"/>
          <w:szCs w:val="20"/>
        </w:rPr>
        <w:t xml:space="preserve"> zamieszkania respondentów</w:t>
      </w:r>
    </w:p>
    <w:tbl>
      <w:tblPr>
        <w:tblStyle w:val="Tabela-Siatka1"/>
        <w:tblW w:w="8558" w:type="dxa"/>
        <w:tblLook w:val="04A0" w:firstRow="1" w:lastRow="0" w:firstColumn="1" w:lastColumn="0" w:noHBand="0" w:noVBand="1"/>
      </w:tblPr>
      <w:tblGrid>
        <w:gridCol w:w="3694"/>
        <w:gridCol w:w="2432"/>
        <w:gridCol w:w="2432"/>
      </w:tblGrid>
      <w:tr w:rsidR="004A4B90" w:rsidRPr="004A4B90" w14:paraId="74AE44BA" w14:textId="77777777" w:rsidTr="007E6BEB">
        <w:trPr>
          <w:trHeight w:val="256"/>
        </w:trPr>
        <w:tc>
          <w:tcPr>
            <w:tcW w:w="3694" w:type="dxa"/>
            <w:noWrap/>
          </w:tcPr>
          <w:p w14:paraId="432AD4CC" w14:textId="459F6563" w:rsidR="004A4B90" w:rsidRPr="00427C1D" w:rsidRDefault="00AA6DA7" w:rsidP="004A4B9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32" w:type="dxa"/>
            <w:noWrap/>
          </w:tcPr>
          <w:p w14:paraId="5D326DD9" w14:textId="77777777" w:rsidR="004A4B90" w:rsidRPr="00427C1D" w:rsidRDefault="004A4B90" w:rsidP="00AA6DA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27C1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432" w:type="dxa"/>
            <w:noWrap/>
          </w:tcPr>
          <w:p w14:paraId="72AD1291" w14:textId="77777777" w:rsidR="004A4B90" w:rsidRPr="00427C1D" w:rsidRDefault="004A4B90" w:rsidP="00AA6DA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27C1D">
              <w:rPr>
                <w:rFonts w:eastAsia="Times New Roman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7E6BEB" w:rsidRPr="004A4B90" w14:paraId="09421CC0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5C8F7DBE" w14:textId="1DDA1493" w:rsidR="007E6BEB" w:rsidRPr="004A4B90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Dydnia</w:t>
            </w:r>
          </w:p>
        </w:tc>
        <w:tc>
          <w:tcPr>
            <w:tcW w:w="2432" w:type="dxa"/>
            <w:noWrap/>
            <w:vAlign w:val="center"/>
            <w:hideMark/>
          </w:tcPr>
          <w:p w14:paraId="07D7CAB4" w14:textId="7C1DC721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32" w:type="dxa"/>
            <w:noWrap/>
            <w:vAlign w:val="center"/>
            <w:hideMark/>
          </w:tcPr>
          <w:p w14:paraId="7C880559" w14:textId="26396DFF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26,67%</w:t>
            </w:r>
          </w:p>
        </w:tc>
      </w:tr>
      <w:tr w:rsidR="007E6BEB" w:rsidRPr="004A4B90" w14:paraId="23B1DF9D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48559724" w14:textId="2A114B36" w:rsidR="007E6BEB" w:rsidRPr="004A4B90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Grabówka</w:t>
            </w:r>
          </w:p>
        </w:tc>
        <w:tc>
          <w:tcPr>
            <w:tcW w:w="2432" w:type="dxa"/>
            <w:noWrap/>
            <w:vAlign w:val="center"/>
            <w:hideMark/>
          </w:tcPr>
          <w:p w14:paraId="16940C0F" w14:textId="4A87974F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2" w:type="dxa"/>
            <w:noWrap/>
            <w:vAlign w:val="center"/>
            <w:hideMark/>
          </w:tcPr>
          <w:p w14:paraId="489F55F8" w14:textId="4790D90F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1,11%</w:t>
            </w:r>
          </w:p>
        </w:tc>
      </w:tr>
      <w:tr w:rsidR="007E6BEB" w:rsidRPr="004A4B90" w14:paraId="7E76635C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79DC5FAD" w14:textId="131AD72E" w:rsidR="007E6BEB" w:rsidRPr="004A4B90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Jabłonica Ruska </w:t>
            </w:r>
          </w:p>
        </w:tc>
        <w:tc>
          <w:tcPr>
            <w:tcW w:w="2432" w:type="dxa"/>
            <w:noWrap/>
            <w:vAlign w:val="center"/>
            <w:hideMark/>
          </w:tcPr>
          <w:p w14:paraId="164F614B" w14:textId="13DAC6C0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32" w:type="dxa"/>
            <w:noWrap/>
            <w:vAlign w:val="center"/>
            <w:hideMark/>
          </w:tcPr>
          <w:p w14:paraId="7E542E05" w14:textId="367E2FF1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0,00%</w:t>
            </w:r>
          </w:p>
        </w:tc>
      </w:tr>
      <w:tr w:rsidR="007E6BEB" w:rsidRPr="004A4B90" w14:paraId="46143B59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1ECEAFD8" w14:textId="2C94E416" w:rsidR="007E6BEB" w:rsidRPr="004A4B90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Jabłonka</w:t>
            </w:r>
          </w:p>
        </w:tc>
        <w:tc>
          <w:tcPr>
            <w:tcW w:w="2432" w:type="dxa"/>
            <w:noWrap/>
            <w:vAlign w:val="center"/>
            <w:hideMark/>
          </w:tcPr>
          <w:p w14:paraId="7A3CA8D6" w14:textId="5CAC8A1B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2" w:type="dxa"/>
            <w:noWrap/>
            <w:vAlign w:val="center"/>
            <w:hideMark/>
          </w:tcPr>
          <w:p w14:paraId="042622DD" w14:textId="427819F5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7,78%</w:t>
            </w:r>
          </w:p>
        </w:tc>
      </w:tr>
      <w:tr w:rsidR="007E6BEB" w:rsidRPr="004A4B90" w14:paraId="78F67AA5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11358E9D" w14:textId="405B0E99" w:rsidR="007E6BEB" w:rsidRPr="004A4B90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2432" w:type="dxa"/>
            <w:noWrap/>
            <w:vAlign w:val="center"/>
            <w:hideMark/>
          </w:tcPr>
          <w:p w14:paraId="4EACE93D" w14:textId="7A0FC32E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2" w:type="dxa"/>
            <w:noWrap/>
            <w:vAlign w:val="center"/>
            <w:hideMark/>
          </w:tcPr>
          <w:p w14:paraId="5A7C9895" w14:textId="5ACD6FF0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3,33%</w:t>
            </w:r>
          </w:p>
        </w:tc>
      </w:tr>
      <w:tr w:rsidR="007E6BEB" w:rsidRPr="004A4B90" w14:paraId="01795BCB" w14:textId="77777777" w:rsidTr="007E6BEB">
        <w:trPr>
          <w:trHeight w:val="256"/>
        </w:trPr>
        <w:tc>
          <w:tcPr>
            <w:tcW w:w="3694" w:type="dxa"/>
            <w:noWrap/>
            <w:vAlign w:val="center"/>
            <w:hideMark/>
          </w:tcPr>
          <w:p w14:paraId="22CC0913" w14:textId="1D76AE06" w:rsidR="007E6BEB" w:rsidRPr="004A4B90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Krzemienna</w:t>
            </w:r>
          </w:p>
        </w:tc>
        <w:tc>
          <w:tcPr>
            <w:tcW w:w="2432" w:type="dxa"/>
            <w:noWrap/>
            <w:vAlign w:val="center"/>
            <w:hideMark/>
          </w:tcPr>
          <w:p w14:paraId="0884DE92" w14:textId="09EF297D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2" w:type="dxa"/>
            <w:noWrap/>
            <w:vAlign w:val="center"/>
            <w:hideMark/>
          </w:tcPr>
          <w:p w14:paraId="6C5B3125" w14:textId="0616E3CA" w:rsidR="007E6BEB" w:rsidRPr="004A4B90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4,44%</w:t>
            </w:r>
          </w:p>
        </w:tc>
      </w:tr>
      <w:tr w:rsidR="007E6BEB" w:rsidRPr="004A4B90" w14:paraId="697EC644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5F4ACFC4" w14:textId="29792BA5" w:rsidR="007E6BEB" w:rsidRPr="00CF4E73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Krzywe</w:t>
            </w:r>
          </w:p>
        </w:tc>
        <w:tc>
          <w:tcPr>
            <w:tcW w:w="2432" w:type="dxa"/>
            <w:noWrap/>
            <w:vAlign w:val="center"/>
          </w:tcPr>
          <w:p w14:paraId="54117E06" w14:textId="215D642E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2" w:type="dxa"/>
            <w:noWrap/>
            <w:vAlign w:val="center"/>
          </w:tcPr>
          <w:p w14:paraId="3E1C94A1" w14:textId="6798E087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5,56%</w:t>
            </w:r>
          </w:p>
        </w:tc>
      </w:tr>
      <w:tr w:rsidR="007E6BEB" w:rsidRPr="004A4B90" w14:paraId="237B9D43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7E9589EB" w14:textId="049524C8" w:rsidR="007E6BEB" w:rsidRPr="00CF4E73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Niewistka</w:t>
            </w:r>
          </w:p>
        </w:tc>
        <w:tc>
          <w:tcPr>
            <w:tcW w:w="2432" w:type="dxa"/>
            <w:noWrap/>
            <w:vAlign w:val="center"/>
          </w:tcPr>
          <w:p w14:paraId="49D8EEB6" w14:textId="60742243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2" w:type="dxa"/>
            <w:noWrap/>
            <w:vAlign w:val="center"/>
          </w:tcPr>
          <w:p w14:paraId="224A9D27" w14:textId="377846E6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2,22%</w:t>
            </w:r>
          </w:p>
        </w:tc>
      </w:tr>
      <w:tr w:rsidR="007E6BEB" w:rsidRPr="004A4B90" w14:paraId="508F5025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527AAA64" w14:textId="472A7ADE" w:rsidR="007E6BEB" w:rsidRPr="00CF4E73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Niebocko</w:t>
            </w:r>
          </w:p>
        </w:tc>
        <w:tc>
          <w:tcPr>
            <w:tcW w:w="2432" w:type="dxa"/>
            <w:noWrap/>
            <w:vAlign w:val="center"/>
          </w:tcPr>
          <w:p w14:paraId="46E78CDA" w14:textId="1666F595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32" w:type="dxa"/>
            <w:noWrap/>
            <w:vAlign w:val="center"/>
          </w:tcPr>
          <w:p w14:paraId="3C136ED2" w14:textId="12CBAA3F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17,78%</w:t>
            </w:r>
          </w:p>
        </w:tc>
      </w:tr>
      <w:tr w:rsidR="007E6BEB" w:rsidRPr="004A4B90" w14:paraId="7D2D7D31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25027DD3" w14:textId="1AD90D4E" w:rsidR="007E6BEB" w:rsidRPr="00CF4E73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Obarzym</w:t>
            </w:r>
          </w:p>
        </w:tc>
        <w:tc>
          <w:tcPr>
            <w:tcW w:w="2432" w:type="dxa"/>
            <w:noWrap/>
            <w:vAlign w:val="center"/>
          </w:tcPr>
          <w:p w14:paraId="6BA1CE15" w14:textId="17D52834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2" w:type="dxa"/>
            <w:noWrap/>
            <w:vAlign w:val="center"/>
          </w:tcPr>
          <w:p w14:paraId="396BF1F1" w14:textId="33C522F8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4,44%</w:t>
            </w:r>
          </w:p>
        </w:tc>
      </w:tr>
      <w:tr w:rsidR="007E6BEB" w:rsidRPr="004A4B90" w14:paraId="217DB0B3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5528CE6A" w14:textId="019178D3" w:rsidR="007E6BEB" w:rsidRPr="00CF4E73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Temeszów</w:t>
            </w:r>
          </w:p>
        </w:tc>
        <w:tc>
          <w:tcPr>
            <w:tcW w:w="2432" w:type="dxa"/>
            <w:noWrap/>
            <w:vAlign w:val="center"/>
          </w:tcPr>
          <w:p w14:paraId="19839E0A" w14:textId="34B421DB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2" w:type="dxa"/>
            <w:noWrap/>
            <w:vAlign w:val="center"/>
          </w:tcPr>
          <w:p w14:paraId="69529DD4" w14:textId="76E3292A" w:rsidR="007E6BEB" w:rsidRPr="00CF4E73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4,44%</w:t>
            </w:r>
          </w:p>
        </w:tc>
      </w:tr>
      <w:tr w:rsidR="007E6BEB" w:rsidRPr="004A4B90" w14:paraId="6BC07A89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73918616" w14:textId="2C189D8C" w:rsidR="007E6BEB" w:rsidRPr="00093B04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Ulucz</w:t>
            </w:r>
          </w:p>
        </w:tc>
        <w:tc>
          <w:tcPr>
            <w:tcW w:w="2432" w:type="dxa"/>
            <w:noWrap/>
            <w:vAlign w:val="center"/>
          </w:tcPr>
          <w:p w14:paraId="30D1EC09" w14:textId="4760C6D8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2" w:type="dxa"/>
            <w:noWrap/>
            <w:vAlign w:val="center"/>
          </w:tcPr>
          <w:p w14:paraId="0058DA6F" w14:textId="73336CFD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1,11%</w:t>
            </w:r>
          </w:p>
        </w:tc>
      </w:tr>
      <w:tr w:rsidR="007E6BEB" w:rsidRPr="004A4B90" w14:paraId="352794A6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5229CC09" w14:textId="6A389CC3" w:rsidR="007E6BEB" w:rsidRPr="00093B04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Witryłów</w:t>
            </w:r>
          </w:p>
        </w:tc>
        <w:tc>
          <w:tcPr>
            <w:tcW w:w="2432" w:type="dxa"/>
            <w:noWrap/>
            <w:vAlign w:val="center"/>
          </w:tcPr>
          <w:p w14:paraId="28855DA5" w14:textId="18E2DA41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2" w:type="dxa"/>
            <w:noWrap/>
            <w:vAlign w:val="center"/>
          </w:tcPr>
          <w:p w14:paraId="1F665DC2" w14:textId="0A568DA0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4,44%</w:t>
            </w:r>
          </w:p>
        </w:tc>
      </w:tr>
      <w:tr w:rsidR="007E6BEB" w:rsidRPr="004A4B90" w14:paraId="20641FF2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4A7E6E7C" w14:textId="75ACF141" w:rsidR="007E6BEB" w:rsidRPr="00093B04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Wydrna</w:t>
            </w:r>
          </w:p>
        </w:tc>
        <w:tc>
          <w:tcPr>
            <w:tcW w:w="2432" w:type="dxa"/>
            <w:noWrap/>
            <w:vAlign w:val="center"/>
          </w:tcPr>
          <w:p w14:paraId="6F615E24" w14:textId="06B02F9F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32" w:type="dxa"/>
            <w:noWrap/>
            <w:vAlign w:val="center"/>
          </w:tcPr>
          <w:p w14:paraId="056575C8" w14:textId="22B376C8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11,11%</w:t>
            </w:r>
          </w:p>
        </w:tc>
      </w:tr>
      <w:tr w:rsidR="007E6BEB" w:rsidRPr="004A4B90" w14:paraId="36F1C483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3C2A59C9" w14:textId="469271A9" w:rsidR="007E6BEB" w:rsidRPr="00093B04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Inna gmina powiatu brzozowskiego</w:t>
            </w:r>
          </w:p>
        </w:tc>
        <w:tc>
          <w:tcPr>
            <w:tcW w:w="2432" w:type="dxa"/>
            <w:noWrap/>
            <w:vAlign w:val="center"/>
          </w:tcPr>
          <w:p w14:paraId="3FC349D0" w14:textId="7B1F4013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2" w:type="dxa"/>
            <w:noWrap/>
            <w:vAlign w:val="center"/>
          </w:tcPr>
          <w:p w14:paraId="41F38994" w14:textId="1650E9D4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2,22%</w:t>
            </w:r>
          </w:p>
        </w:tc>
      </w:tr>
      <w:tr w:rsidR="007E6BEB" w:rsidRPr="004A4B90" w14:paraId="6216BA42" w14:textId="77777777" w:rsidTr="007E6BEB">
        <w:trPr>
          <w:trHeight w:val="256"/>
        </w:trPr>
        <w:tc>
          <w:tcPr>
            <w:tcW w:w="3694" w:type="dxa"/>
            <w:noWrap/>
            <w:vAlign w:val="center"/>
          </w:tcPr>
          <w:p w14:paraId="740CB5F2" w14:textId="478FD574" w:rsidR="007E6BEB" w:rsidRPr="00093B04" w:rsidRDefault="007E6BEB" w:rsidP="007E6B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Inna gmina województwa podkarpackiego</w:t>
            </w:r>
          </w:p>
        </w:tc>
        <w:tc>
          <w:tcPr>
            <w:tcW w:w="2432" w:type="dxa"/>
            <w:noWrap/>
            <w:vAlign w:val="center"/>
          </w:tcPr>
          <w:p w14:paraId="26ACF562" w14:textId="73FCAEA9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2" w:type="dxa"/>
            <w:noWrap/>
            <w:vAlign w:val="center"/>
          </w:tcPr>
          <w:p w14:paraId="544E7CCD" w14:textId="2D91D1B6" w:rsidR="007E6BEB" w:rsidRPr="00F04A54" w:rsidRDefault="007E6BEB" w:rsidP="007E6BE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3,33%</w:t>
            </w:r>
          </w:p>
        </w:tc>
      </w:tr>
      <w:tr w:rsidR="00CF4E73" w:rsidRPr="004A4B90" w14:paraId="35D74804" w14:textId="77777777" w:rsidTr="007E6BEB">
        <w:trPr>
          <w:trHeight w:val="256"/>
        </w:trPr>
        <w:tc>
          <w:tcPr>
            <w:tcW w:w="3694" w:type="dxa"/>
            <w:noWrap/>
            <w:vAlign w:val="bottom"/>
          </w:tcPr>
          <w:p w14:paraId="530C7E6C" w14:textId="19B80236" w:rsidR="00CF4E73" w:rsidRPr="00CF4E73" w:rsidRDefault="00CF4E73" w:rsidP="00CF4E7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2432" w:type="dxa"/>
            <w:noWrap/>
            <w:vAlign w:val="bottom"/>
          </w:tcPr>
          <w:p w14:paraId="215AD884" w14:textId="085608F0" w:rsidR="00CF4E73" w:rsidRPr="00CF4E73" w:rsidRDefault="007E6BEB" w:rsidP="00CF4E7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32" w:type="dxa"/>
            <w:noWrap/>
            <w:vAlign w:val="bottom"/>
          </w:tcPr>
          <w:p w14:paraId="35310D48" w14:textId="3EE630D1" w:rsidR="00CF4E73" w:rsidRPr="00CF4E73" w:rsidRDefault="00CF4E73" w:rsidP="00CF4E7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100,0</w:t>
            </w:r>
            <w:r w:rsidR="007E6BE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  <w:r w:rsidRPr="0023488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%</w:t>
            </w:r>
          </w:p>
        </w:tc>
      </w:tr>
    </w:tbl>
    <w:p w14:paraId="27C33E42" w14:textId="4CC66820" w:rsidR="00427C1D" w:rsidRPr="00427C1D" w:rsidRDefault="00CF4E73" w:rsidP="00427C1D">
      <w:pPr>
        <w:spacing w:after="120" w:line="240" w:lineRule="auto"/>
        <w:jc w:val="both"/>
        <w:rPr>
          <w:i/>
        </w:rPr>
      </w:pPr>
      <w:r>
        <w:rPr>
          <w:i/>
        </w:rPr>
        <w:t>Źródł</w:t>
      </w:r>
      <w:r w:rsidR="00093B04">
        <w:rPr>
          <w:i/>
        </w:rPr>
        <w:t xml:space="preserve">o: Badanie </w:t>
      </w:r>
      <w:r w:rsidR="00093B04" w:rsidRPr="005A0FF2">
        <w:rPr>
          <w:i/>
        </w:rPr>
        <w:t xml:space="preserve">ankietowe </w:t>
      </w:r>
      <w:r w:rsidR="00F04A54" w:rsidRPr="005A0FF2">
        <w:rPr>
          <w:i/>
        </w:rPr>
        <w:t>CAWI i PAPI,</w:t>
      </w:r>
      <w:r w:rsidR="00F04A54" w:rsidRPr="00427C1D">
        <w:rPr>
          <w:i/>
        </w:rPr>
        <w:t xml:space="preserve"> N=</w:t>
      </w:r>
      <w:r w:rsidR="00763A21">
        <w:rPr>
          <w:i/>
        </w:rPr>
        <w:t>90</w:t>
      </w:r>
    </w:p>
    <w:p w14:paraId="0D616D09" w14:textId="3BA7DEA6" w:rsidR="00427C1D" w:rsidRPr="00427C1D" w:rsidRDefault="00427C1D" w:rsidP="00C85830">
      <w:pPr>
        <w:spacing w:after="120" w:line="240" w:lineRule="auto"/>
        <w:jc w:val="both"/>
        <w:rPr>
          <w:i/>
        </w:rPr>
      </w:pPr>
    </w:p>
    <w:p w14:paraId="6DA0B614" w14:textId="77777777" w:rsidR="00427C1D" w:rsidRPr="00427C1D" w:rsidRDefault="00427C1D" w:rsidP="00427C1D">
      <w:pPr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 xml:space="preserve">Wyniki </w:t>
      </w:r>
    </w:p>
    <w:p w14:paraId="497605DE" w14:textId="30055A0F" w:rsidR="00AA1C06" w:rsidRDefault="00427C1D" w:rsidP="00427C1D">
      <w:pPr>
        <w:spacing w:after="160" w:line="259" w:lineRule="auto"/>
        <w:jc w:val="both"/>
      </w:pPr>
      <w:r w:rsidRPr="00427C1D">
        <w:t xml:space="preserve">Pierwsze pytanie w ankiecie dotyczyło ogólnej opinii mieszkańców na temat życia w </w:t>
      </w:r>
      <w:r w:rsidR="00DA6797">
        <w:t>gminie</w:t>
      </w:r>
      <w:r w:rsidRPr="00427C1D">
        <w:t>. Z</w:t>
      </w:r>
      <w:r w:rsidR="00705D58">
        <w:t> </w:t>
      </w:r>
      <w:r w:rsidRPr="00427C1D">
        <w:t xml:space="preserve">odpowiedzi wyłania się </w:t>
      </w:r>
      <w:r w:rsidR="00256BA6">
        <w:t xml:space="preserve">raczej </w:t>
      </w:r>
      <w:r w:rsidRPr="00427C1D">
        <w:t>optymistyczny obraz – najliczniejsz</w:t>
      </w:r>
      <w:r w:rsidR="00AA1C06">
        <w:t>e były</w:t>
      </w:r>
      <w:r w:rsidRPr="00427C1D">
        <w:t xml:space="preserve"> </w:t>
      </w:r>
      <w:r w:rsidR="00AA1C06">
        <w:t>odpowiedzi „</w:t>
      </w:r>
      <w:r w:rsidR="00357699">
        <w:t>średnio</w:t>
      </w:r>
      <w:r w:rsidR="00AA1C06">
        <w:t>”</w:t>
      </w:r>
      <w:r w:rsidRPr="00427C1D">
        <w:t xml:space="preserve"> </w:t>
      </w:r>
      <w:r w:rsidRPr="00427C1D">
        <w:lastRenderedPageBreak/>
        <w:t>(</w:t>
      </w:r>
      <w:r w:rsidR="00357699">
        <w:t>42</w:t>
      </w:r>
      <w:r w:rsidR="00AA1C06">
        <w:t> </w:t>
      </w:r>
      <w:r w:rsidRPr="00427C1D">
        <w:t>os</w:t>
      </w:r>
      <w:r w:rsidR="00357699">
        <w:t>oby</w:t>
      </w:r>
      <w:r w:rsidRPr="00427C1D">
        <w:t xml:space="preserve">, </w:t>
      </w:r>
      <w:r w:rsidR="00357699">
        <w:t>46</w:t>
      </w:r>
      <w:r w:rsidR="00AE6503">
        <w:t>,</w:t>
      </w:r>
      <w:r w:rsidR="00357699">
        <w:t>67</w:t>
      </w:r>
      <w:r w:rsidRPr="00427C1D">
        <w:t>%),</w:t>
      </w:r>
      <w:r w:rsidR="00AA1C06">
        <w:t xml:space="preserve"> zaś łącznie odpowiedzi „bardzo dobrze” i „dobrze” udzielił</w:t>
      </w:r>
      <w:r w:rsidR="00357699">
        <w:t>a</w:t>
      </w:r>
      <w:r w:rsidR="00AA1C06">
        <w:t xml:space="preserve"> </w:t>
      </w:r>
      <w:r w:rsidR="00357699">
        <w:t xml:space="preserve">dokładnie </w:t>
      </w:r>
      <w:r w:rsidR="00AA1C06">
        <w:t>połowa ankietowanych</w:t>
      </w:r>
      <w:r w:rsidR="00357699">
        <w:t xml:space="preserve"> (45 osób, 50,00%)</w:t>
      </w:r>
      <w:r w:rsidR="00AA1C06">
        <w:t>. Odpowiedzi negatywnych „źle”</w:t>
      </w:r>
      <w:r w:rsidR="00357699">
        <w:t xml:space="preserve"> </w:t>
      </w:r>
      <w:r w:rsidR="00AA1C06">
        <w:t xml:space="preserve">udzieliło </w:t>
      </w:r>
      <w:r w:rsidR="00357699">
        <w:t>tylko</w:t>
      </w:r>
      <w:r w:rsidR="00AE6503">
        <w:t xml:space="preserve"> </w:t>
      </w:r>
      <w:r w:rsidR="00357699">
        <w:t>3</w:t>
      </w:r>
      <w:r w:rsidR="00AE6503">
        <w:t>,</w:t>
      </w:r>
      <w:r w:rsidR="00357699">
        <w:t>33</w:t>
      </w:r>
      <w:r w:rsidR="00AE6503">
        <w:t>% respondentów</w:t>
      </w:r>
      <w:r w:rsidR="00357699">
        <w:t>, a odpowiedzi „bardzo źle” nikt nie wybrał</w:t>
      </w:r>
      <w:r w:rsidR="00B34D98">
        <w:t>.</w:t>
      </w:r>
    </w:p>
    <w:p w14:paraId="4FCBDF01" w14:textId="72F23D71" w:rsidR="00FD4928" w:rsidRPr="00FD4928" w:rsidRDefault="00FD4928" w:rsidP="00FD4928">
      <w:pPr>
        <w:spacing w:after="120" w:line="240" w:lineRule="auto"/>
        <w:rPr>
          <w:b/>
          <w:iCs/>
          <w:sz w:val="20"/>
          <w:szCs w:val="20"/>
        </w:rPr>
      </w:pPr>
      <w:r w:rsidRPr="00FD4928">
        <w:rPr>
          <w:b/>
          <w:iCs/>
          <w:sz w:val="20"/>
          <w:szCs w:val="20"/>
        </w:rPr>
        <w:t xml:space="preserve">Tabela </w:t>
      </w:r>
      <w:r w:rsidR="00EF3A7C">
        <w:rPr>
          <w:b/>
          <w:iCs/>
          <w:sz w:val="20"/>
          <w:szCs w:val="20"/>
        </w:rPr>
        <w:fldChar w:fldCharType="begin"/>
      </w:r>
      <w:r w:rsidR="00EF3A7C">
        <w:rPr>
          <w:b/>
          <w:iCs/>
          <w:sz w:val="20"/>
          <w:szCs w:val="20"/>
        </w:rPr>
        <w:instrText xml:space="preserve"> SEQ Tabela \* ARABIC \* Arabic </w:instrText>
      </w:r>
      <w:r w:rsidR="00EF3A7C">
        <w:rPr>
          <w:b/>
          <w:iCs/>
          <w:sz w:val="20"/>
          <w:szCs w:val="20"/>
        </w:rPr>
        <w:fldChar w:fldCharType="separate"/>
      </w:r>
      <w:r w:rsidR="00EF3A7C">
        <w:rPr>
          <w:b/>
          <w:iCs/>
          <w:noProof/>
          <w:sz w:val="20"/>
          <w:szCs w:val="20"/>
        </w:rPr>
        <w:t>6</w:t>
      </w:r>
      <w:r w:rsidR="00EF3A7C">
        <w:rPr>
          <w:b/>
          <w:iCs/>
          <w:sz w:val="20"/>
          <w:szCs w:val="20"/>
        </w:rPr>
        <w:fldChar w:fldCharType="end"/>
      </w:r>
      <w:r w:rsidR="00057CDC">
        <w:rPr>
          <w:b/>
          <w:iCs/>
          <w:sz w:val="20"/>
          <w:szCs w:val="20"/>
        </w:rPr>
        <w:t xml:space="preserve">. Ogólna ocena życia w </w:t>
      </w:r>
      <w:r w:rsidR="00DA6797">
        <w:rPr>
          <w:b/>
          <w:iCs/>
          <w:sz w:val="20"/>
          <w:szCs w:val="20"/>
        </w:rPr>
        <w:t>gminie</w:t>
      </w: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620"/>
        <w:gridCol w:w="960"/>
      </w:tblGrid>
      <w:tr w:rsidR="00FD4928" w:rsidRPr="00FD4928" w14:paraId="07150993" w14:textId="77777777" w:rsidTr="00FD4928">
        <w:trPr>
          <w:trHeight w:val="25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C88" w14:textId="77777777" w:rsidR="00FD4928" w:rsidRPr="00FD4928" w:rsidRDefault="00FD4928" w:rsidP="00FD49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FD492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F12" w14:textId="77777777" w:rsidR="00FD4928" w:rsidRPr="00FD4928" w:rsidRDefault="00FD4928" w:rsidP="00FD492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FD492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46F" w14:textId="77777777" w:rsidR="00FD4928" w:rsidRPr="00FD4928" w:rsidRDefault="00FD4928" w:rsidP="00057C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FD492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DA6797" w:rsidRPr="00FD4928" w14:paraId="24FD5E84" w14:textId="77777777" w:rsidTr="00122E56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F84F" w14:textId="12344E1C" w:rsidR="00DA6797" w:rsidRPr="00FD4928" w:rsidRDefault="00DA6797" w:rsidP="00DA679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Bardzo źle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D978" w14:textId="102FBB7A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CA94" w14:textId="2FAEB040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0,00%</w:t>
            </w:r>
          </w:p>
        </w:tc>
      </w:tr>
      <w:tr w:rsidR="00DA6797" w:rsidRPr="00FD4928" w14:paraId="7C9860A0" w14:textId="77777777" w:rsidTr="00122E56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C41F" w14:textId="0545F0A6" w:rsidR="00DA6797" w:rsidRPr="00FD4928" w:rsidRDefault="00DA6797" w:rsidP="00DA679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Źle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EC2" w14:textId="61CDE08D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059E" w14:textId="7A7DD5EB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3,33%</w:t>
            </w:r>
          </w:p>
        </w:tc>
      </w:tr>
      <w:tr w:rsidR="00DA6797" w:rsidRPr="00FD4928" w14:paraId="5A48B6CA" w14:textId="77777777" w:rsidTr="00122E56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DF6B" w14:textId="6CA82FB8" w:rsidR="00DA6797" w:rsidRPr="00FD4928" w:rsidRDefault="00DA6797" w:rsidP="00DA679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Średnio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1177" w14:textId="0AD6A6AE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FD57" w14:textId="216DF61F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46,67%</w:t>
            </w:r>
          </w:p>
        </w:tc>
      </w:tr>
      <w:tr w:rsidR="00DA6797" w:rsidRPr="00FD4928" w14:paraId="1BB1F422" w14:textId="77777777" w:rsidTr="00122E56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876" w14:textId="0CC06C3F" w:rsidR="00DA6797" w:rsidRPr="00FD4928" w:rsidRDefault="00DA6797" w:rsidP="00DA679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Dobrze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B1FB" w14:textId="61154F8D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BF3B" w14:textId="7C7FD68F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34,44%</w:t>
            </w:r>
          </w:p>
        </w:tc>
      </w:tr>
      <w:tr w:rsidR="00DA6797" w:rsidRPr="00FD4928" w14:paraId="03161C8D" w14:textId="77777777" w:rsidTr="00122E56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6A96" w14:textId="6BB99F50" w:rsidR="00DA6797" w:rsidRPr="00FD4928" w:rsidRDefault="00DA6797" w:rsidP="00DA679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Bardzo dobrze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B2BE" w14:textId="66C5FA73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E9FA" w14:textId="5F7EF7BE" w:rsidR="00DA6797" w:rsidRPr="00FD4928" w:rsidRDefault="00DA6797" w:rsidP="00DA67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A679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15,56%</w:t>
            </w:r>
          </w:p>
        </w:tc>
      </w:tr>
      <w:tr w:rsidR="00FD4928" w:rsidRPr="00FD4928" w14:paraId="12440E72" w14:textId="77777777" w:rsidTr="00FD4928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D7C" w14:textId="7E038DB5" w:rsidR="00FD4928" w:rsidRPr="00FD4928" w:rsidRDefault="00BE1D50" w:rsidP="00FD492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AEBF" w14:textId="6038760C" w:rsidR="00FD4928" w:rsidRPr="00FD4928" w:rsidRDefault="00DA6797" w:rsidP="00FD492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0E9" w14:textId="77777777" w:rsidR="00FD4928" w:rsidRPr="00FD4928" w:rsidRDefault="00FD4928" w:rsidP="00FD492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FD492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100,0%</w:t>
            </w:r>
          </w:p>
        </w:tc>
      </w:tr>
    </w:tbl>
    <w:p w14:paraId="6B6100DF" w14:textId="5000D540" w:rsidR="00596F10" w:rsidRDefault="00FD4928" w:rsidP="000F7154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Źródło: Bada</w:t>
      </w:r>
      <w:r w:rsidR="00AE6503">
        <w:rPr>
          <w:i/>
        </w:rPr>
        <w:t xml:space="preserve">nie </w:t>
      </w:r>
      <w:r w:rsidR="00AE6503" w:rsidRPr="005A0FF2">
        <w:rPr>
          <w:i/>
        </w:rPr>
        <w:t xml:space="preserve">ankietowe </w:t>
      </w:r>
      <w:r w:rsidR="00256BA6" w:rsidRPr="005A0FF2">
        <w:rPr>
          <w:i/>
        </w:rPr>
        <w:t>CAWI i PAPI, N</w:t>
      </w:r>
      <w:r w:rsidR="00256BA6" w:rsidRPr="00427C1D">
        <w:rPr>
          <w:i/>
        </w:rPr>
        <w:t>=</w:t>
      </w:r>
      <w:r w:rsidR="00DA6797">
        <w:rPr>
          <w:i/>
        </w:rPr>
        <w:t>90</w:t>
      </w:r>
    </w:p>
    <w:p w14:paraId="036B6D77" w14:textId="72AFD3DF" w:rsidR="00427C1D" w:rsidRPr="00427C1D" w:rsidRDefault="00427C1D" w:rsidP="00427C1D">
      <w:pPr>
        <w:spacing w:after="16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Wykres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Wykres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9715C4">
        <w:rPr>
          <w:b/>
          <w:iCs/>
          <w:noProof/>
          <w:sz w:val="20"/>
          <w:szCs w:val="20"/>
        </w:rPr>
        <w:t>1</w:t>
      </w:r>
      <w:r w:rsidRPr="00427C1D">
        <w:rPr>
          <w:b/>
          <w:iCs/>
          <w:sz w:val="20"/>
          <w:szCs w:val="20"/>
        </w:rPr>
        <w:fldChar w:fldCharType="end"/>
      </w:r>
      <w:r w:rsidR="00B55DE7">
        <w:rPr>
          <w:b/>
          <w:iCs/>
          <w:sz w:val="20"/>
          <w:szCs w:val="20"/>
        </w:rPr>
        <w:t xml:space="preserve">. Ogólna ocena życia w </w:t>
      </w:r>
      <w:r w:rsidR="00DA6797">
        <w:rPr>
          <w:b/>
          <w:iCs/>
          <w:sz w:val="20"/>
          <w:szCs w:val="20"/>
        </w:rPr>
        <w:t>gminie</w:t>
      </w:r>
    </w:p>
    <w:p w14:paraId="4B532AD9" w14:textId="4D99312F" w:rsidR="00427C1D" w:rsidRPr="00427C1D" w:rsidRDefault="00500814" w:rsidP="00FD4928">
      <w:pPr>
        <w:spacing w:after="160" w:line="259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00C0E7" wp14:editId="2F86F731">
            <wp:extent cx="5760720" cy="3773805"/>
            <wp:effectExtent l="0" t="0" r="11430" b="1714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9F9EA6" w14:textId="7B1E39AD" w:rsid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B55DE7">
        <w:rPr>
          <w:i/>
        </w:rPr>
        <w:t xml:space="preserve">o: Badanie </w:t>
      </w:r>
      <w:r w:rsidR="00B55DE7" w:rsidRPr="005A0FF2">
        <w:rPr>
          <w:i/>
        </w:rPr>
        <w:t xml:space="preserve">ankietowe </w:t>
      </w:r>
      <w:r w:rsidR="00616E6E" w:rsidRPr="005A0FF2">
        <w:rPr>
          <w:i/>
        </w:rPr>
        <w:t>CAWI i PAPI,</w:t>
      </w:r>
      <w:r w:rsidR="00616E6E" w:rsidRPr="00427C1D">
        <w:rPr>
          <w:i/>
        </w:rPr>
        <w:t xml:space="preserve"> N=</w:t>
      </w:r>
      <w:r w:rsidR="00DA6797">
        <w:rPr>
          <w:i/>
        </w:rPr>
        <w:t>90</w:t>
      </w:r>
    </w:p>
    <w:p w14:paraId="7940F5C3" w14:textId="081F3A14" w:rsidR="00427C1D" w:rsidRPr="00251D16" w:rsidRDefault="00B44C8A" w:rsidP="00427C1D">
      <w:pPr>
        <w:spacing w:after="160" w:line="259" w:lineRule="auto"/>
        <w:jc w:val="both"/>
      </w:pPr>
      <w:r>
        <w:t>Kwestia</w:t>
      </w:r>
      <w:r w:rsidRPr="00427C1D">
        <w:t xml:space="preserve"> t</w:t>
      </w:r>
      <w:r>
        <w:t>a</w:t>
      </w:r>
      <w:r w:rsidRPr="00427C1D">
        <w:t xml:space="preserve"> został</w:t>
      </w:r>
      <w:r>
        <w:t>a</w:t>
      </w:r>
      <w:r w:rsidRPr="00427C1D">
        <w:t xml:space="preserve"> </w:t>
      </w:r>
      <w:r w:rsidR="00427C1D" w:rsidRPr="00427C1D">
        <w:t xml:space="preserve">w dalszej części ankiety </w:t>
      </w:r>
      <w:r w:rsidRPr="00427C1D">
        <w:t>pogłębion</w:t>
      </w:r>
      <w:r>
        <w:t>a</w:t>
      </w:r>
      <w:r w:rsidRPr="00427C1D">
        <w:t xml:space="preserve"> </w:t>
      </w:r>
      <w:r w:rsidR="00427C1D" w:rsidRPr="00427C1D">
        <w:t xml:space="preserve">poprzez pytania szczegółowe o konkretne </w:t>
      </w:r>
      <w:r w:rsidR="009E3AB6">
        <w:t>aspekty</w:t>
      </w:r>
      <w:r w:rsidR="00427C1D" w:rsidRPr="00427C1D">
        <w:t xml:space="preserve"> </w:t>
      </w:r>
      <w:r w:rsidR="006C1566">
        <w:t>życia w</w:t>
      </w:r>
      <w:r w:rsidR="00427C1D" w:rsidRPr="00251D16">
        <w:t xml:space="preserve"> </w:t>
      </w:r>
      <w:r w:rsidR="009E3AB6">
        <w:t>gmin</w:t>
      </w:r>
      <w:r w:rsidR="006C1566">
        <w:t>ie</w:t>
      </w:r>
      <w:r w:rsidR="00427C1D" w:rsidRPr="00251D16">
        <w:t xml:space="preserve">. </w:t>
      </w:r>
    </w:p>
    <w:p w14:paraId="4C2134DF" w14:textId="05EB2AEC" w:rsidR="00534AFA" w:rsidRPr="00251D16" w:rsidRDefault="006C1566" w:rsidP="00427C1D">
      <w:pPr>
        <w:spacing w:after="160" w:line="259" w:lineRule="auto"/>
        <w:jc w:val="both"/>
      </w:pPr>
      <w:r>
        <w:t>N</w:t>
      </w:r>
      <w:r w:rsidR="00534AFA" w:rsidRPr="00251D16">
        <w:t>ajkorzystniej ocenione został</w:t>
      </w:r>
      <w:r w:rsidR="005A0FF2">
        <w:t>y</w:t>
      </w:r>
      <w:r w:rsidR="00427C1D" w:rsidRPr="00251D16">
        <w:t xml:space="preserve"> </w:t>
      </w:r>
      <w:r w:rsidR="0035651E">
        <w:t xml:space="preserve">takie obszary jak </w:t>
      </w:r>
      <w:r w:rsidR="00314213">
        <w:t>opieka nad dziećmi – żłobki i przedszkola</w:t>
      </w:r>
      <w:r w:rsidR="00534AFA" w:rsidRPr="00251D16">
        <w:t xml:space="preserve"> (łącznie </w:t>
      </w:r>
      <w:r w:rsidR="007E3304">
        <w:t>67</w:t>
      </w:r>
      <w:r w:rsidR="00490592" w:rsidRPr="00251D16">
        <w:t xml:space="preserve">, a więc </w:t>
      </w:r>
      <w:r w:rsidR="00314213">
        <w:t>74</w:t>
      </w:r>
      <w:r w:rsidR="00490592" w:rsidRPr="00251D16">
        <w:t>,</w:t>
      </w:r>
      <w:r w:rsidR="00314213">
        <w:t>44</w:t>
      </w:r>
      <w:r w:rsidR="00E93263" w:rsidRPr="00251D16">
        <w:t>% pozytywnych odpowiedzi – „bardzo dobr</w:t>
      </w:r>
      <w:r w:rsidR="00314213">
        <w:t>ze</w:t>
      </w:r>
      <w:r w:rsidR="00E93263" w:rsidRPr="00251D16">
        <w:t>” i „dobr</w:t>
      </w:r>
      <w:r w:rsidR="00314213">
        <w:t>ze</w:t>
      </w:r>
      <w:r w:rsidR="00E93263" w:rsidRPr="00251D16">
        <w:t>”),</w:t>
      </w:r>
      <w:bookmarkStart w:id="1" w:name="_Hlk53999457"/>
      <w:r w:rsidR="007E3304">
        <w:t xml:space="preserve"> bezpieczeństwo mieszkańców</w:t>
      </w:r>
      <w:bookmarkEnd w:id="1"/>
      <w:r w:rsidR="005115C7" w:rsidRPr="00251D16">
        <w:t xml:space="preserve"> </w:t>
      </w:r>
      <w:r w:rsidR="00490592" w:rsidRPr="00251D16">
        <w:t>(</w:t>
      </w:r>
      <w:r w:rsidR="00314213">
        <w:t>60</w:t>
      </w:r>
      <w:r w:rsidR="0036402E" w:rsidRPr="00251D16">
        <w:t xml:space="preserve"> od</w:t>
      </w:r>
      <w:r w:rsidR="00490592" w:rsidRPr="00251D16">
        <w:t xml:space="preserve">powiedzi pozytywnych, co daje </w:t>
      </w:r>
      <w:r w:rsidR="00314213">
        <w:t>66</w:t>
      </w:r>
      <w:r w:rsidR="00490592" w:rsidRPr="00251D16">
        <w:t>,</w:t>
      </w:r>
      <w:r w:rsidR="00314213">
        <w:t>67</w:t>
      </w:r>
      <w:r w:rsidR="0036402E" w:rsidRPr="00251D16">
        <w:t>%)</w:t>
      </w:r>
      <w:r w:rsidR="007E3304">
        <w:t xml:space="preserve">, </w:t>
      </w:r>
      <w:bookmarkStart w:id="2" w:name="_Hlk53999476"/>
      <w:r w:rsidR="00314213">
        <w:t>stan i dostępność infrastruktury sportowej</w:t>
      </w:r>
      <w:r w:rsidR="0036402E" w:rsidRPr="00251D16">
        <w:t xml:space="preserve"> </w:t>
      </w:r>
      <w:bookmarkEnd w:id="2"/>
      <w:r w:rsidR="007E3304" w:rsidRPr="00251D16">
        <w:t>(</w:t>
      </w:r>
      <w:r w:rsidR="007E3304">
        <w:t>5</w:t>
      </w:r>
      <w:r w:rsidR="00314213">
        <w:t>2</w:t>
      </w:r>
      <w:r w:rsidR="007E3304" w:rsidRPr="00251D16">
        <w:t xml:space="preserve"> odpowiedzi pozytywnych, 5</w:t>
      </w:r>
      <w:r w:rsidR="00314213">
        <w:t>7</w:t>
      </w:r>
      <w:r w:rsidR="007E3304" w:rsidRPr="00251D16">
        <w:t>,</w:t>
      </w:r>
      <w:r w:rsidR="00314213">
        <w:t>78</w:t>
      </w:r>
      <w:r w:rsidR="007E3304" w:rsidRPr="00251D16">
        <w:t>%)</w:t>
      </w:r>
      <w:r w:rsidR="007E3304">
        <w:t xml:space="preserve"> </w:t>
      </w:r>
      <w:r w:rsidR="0036402E" w:rsidRPr="00251D16">
        <w:t xml:space="preserve">oraz </w:t>
      </w:r>
      <w:r w:rsidR="00314213">
        <w:t>jakość oświaty na poziomie podstawowym</w:t>
      </w:r>
      <w:r w:rsidR="007E3304">
        <w:t xml:space="preserve"> </w:t>
      </w:r>
      <w:r w:rsidR="00490592" w:rsidRPr="00251D16">
        <w:t>(</w:t>
      </w:r>
      <w:r w:rsidR="007E3304">
        <w:t>5</w:t>
      </w:r>
      <w:r w:rsidR="00314213">
        <w:t>1</w:t>
      </w:r>
      <w:r w:rsidR="00490592" w:rsidRPr="00251D16">
        <w:t xml:space="preserve"> odpowiedzi pozytywnych, 5</w:t>
      </w:r>
      <w:r w:rsidR="00314213">
        <w:t>6</w:t>
      </w:r>
      <w:r w:rsidR="00490592" w:rsidRPr="00251D16">
        <w:t>,</w:t>
      </w:r>
      <w:r w:rsidR="00314213">
        <w:t>67</w:t>
      </w:r>
      <w:r w:rsidR="0036402E" w:rsidRPr="00251D16">
        <w:t>%).</w:t>
      </w:r>
    </w:p>
    <w:p w14:paraId="30F632BE" w14:textId="79FB8EAE" w:rsidR="00427C1D" w:rsidRDefault="00E33BB9" w:rsidP="00427C1D">
      <w:pPr>
        <w:spacing w:after="160" w:line="259" w:lineRule="auto"/>
        <w:jc w:val="both"/>
      </w:pPr>
      <w:r w:rsidRPr="00251D16">
        <w:lastRenderedPageBreak/>
        <w:t xml:space="preserve">Za </w:t>
      </w:r>
      <w:r w:rsidR="00B44C8A" w:rsidRPr="00251D16">
        <w:t xml:space="preserve">obszary </w:t>
      </w:r>
      <w:r w:rsidRPr="00251D16">
        <w:t>problematyczne uznać</w:t>
      </w:r>
      <w:r w:rsidRPr="00E33BB9">
        <w:t xml:space="preserve"> </w:t>
      </w:r>
      <w:r w:rsidR="006434A0">
        <w:t>można</w:t>
      </w:r>
      <w:r w:rsidRPr="00E33BB9">
        <w:t xml:space="preserve"> natomiast </w:t>
      </w:r>
      <w:r w:rsidR="006434A0">
        <w:t>możliwości znalezienia pracy w gminie</w:t>
      </w:r>
      <w:r w:rsidR="00251D16">
        <w:t xml:space="preserve"> (łącznie </w:t>
      </w:r>
      <w:r w:rsidR="006434A0">
        <w:t>70</w:t>
      </w:r>
      <w:r w:rsidR="007F3F65">
        <w:t xml:space="preserve"> odpowiedzi „źle” i </w:t>
      </w:r>
      <w:r w:rsidR="00251D16">
        <w:t xml:space="preserve">„bardzo źle”, co łącznie daje </w:t>
      </w:r>
      <w:r w:rsidR="00933EFB">
        <w:t>77</w:t>
      </w:r>
      <w:r w:rsidR="00251D16">
        <w:t>,</w:t>
      </w:r>
      <w:r w:rsidR="00933EFB">
        <w:t>78</w:t>
      </w:r>
      <w:r w:rsidR="007F3F65">
        <w:t>% odpowiedzi negatywnych)</w:t>
      </w:r>
      <w:r w:rsidR="00251D16">
        <w:t>,</w:t>
      </w:r>
      <w:r w:rsidR="007F3F65">
        <w:t xml:space="preserve"> </w:t>
      </w:r>
      <w:bookmarkStart w:id="3" w:name="_Hlk53999527"/>
      <w:r w:rsidR="00933EFB">
        <w:t xml:space="preserve">standard i dostępność mieszkań </w:t>
      </w:r>
      <w:r w:rsidR="00C30FC8">
        <w:t>(</w:t>
      </w:r>
      <w:r w:rsidR="00933EFB">
        <w:t>50</w:t>
      </w:r>
      <w:r w:rsidR="00C30FC8">
        <w:t xml:space="preserve"> odpowiedzi negatywnych, </w:t>
      </w:r>
      <w:r w:rsidR="00933EFB">
        <w:t>55</w:t>
      </w:r>
      <w:r w:rsidR="00C30FC8">
        <w:t>,</w:t>
      </w:r>
      <w:r w:rsidR="00933EFB">
        <w:t>5</w:t>
      </w:r>
      <w:r w:rsidR="00C30FC8">
        <w:t xml:space="preserve">6%), </w:t>
      </w:r>
      <w:r w:rsidR="00933EFB">
        <w:t>stan chodników</w:t>
      </w:r>
      <w:r w:rsidR="00251D16">
        <w:t xml:space="preserve"> (</w:t>
      </w:r>
      <w:r w:rsidR="00933EFB">
        <w:t>37</w:t>
      </w:r>
      <w:r w:rsidR="00251D16">
        <w:t xml:space="preserve"> odpowiedzi negatywnych, </w:t>
      </w:r>
      <w:r w:rsidR="00C30FC8">
        <w:t>4</w:t>
      </w:r>
      <w:r w:rsidR="00933EFB">
        <w:t>1</w:t>
      </w:r>
      <w:r w:rsidR="00251D16">
        <w:t>,</w:t>
      </w:r>
      <w:r w:rsidR="00C30FC8">
        <w:t>1</w:t>
      </w:r>
      <w:r w:rsidR="00933EFB">
        <w:t>1</w:t>
      </w:r>
      <w:r w:rsidR="00251D16">
        <w:t xml:space="preserve">%) oraz </w:t>
      </w:r>
      <w:r w:rsidR="00933EFB">
        <w:t>stan dróg</w:t>
      </w:r>
      <w:r w:rsidR="00251D16">
        <w:t xml:space="preserve"> </w:t>
      </w:r>
      <w:bookmarkEnd w:id="3"/>
      <w:r w:rsidR="00251D16">
        <w:t>(</w:t>
      </w:r>
      <w:r w:rsidR="00933EFB">
        <w:t>31</w:t>
      </w:r>
      <w:r w:rsidR="00251D16">
        <w:t xml:space="preserve"> odpowiedzi negatywnych, </w:t>
      </w:r>
      <w:r w:rsidR="00933EFB">
        <w:t>34</w:t>
      </w:r>
      <w:r w:rsidR="00251D16">
        <w:t>,</w:t>
      </w:r>
      <w:r w:rsidR="00933EFB">
        <w:t>44</w:t>
      </w:r>
      <w:r w:rsidR="00251D16">
        <w:t>%).</w:t>
      </w:r>
    </w:p>
    <w:p w14:paraId="700573CB" w14:textId="061B911D" w:rsidR="00252D76" w:rsidRPr="00E33BB9" w:rsidRDefault="00252D76" w:rsidP="00427C1D">
      <w:pPr>
        <w:spacing w:after="160" w:line="259" w:lineRule="auto"/>
        <w:jc w:val="both"/>
      </w:pPr>
      <w:r>
        <w:t>Poniższa t</w:t>
      </w:r>
      <w:r w:rsidR="00B914B7">
        <w:t xml:space="preserve">abele oraz wykres przedstawiają, jak mieszkańcy </w:t>
      </w:r>
      <w:r w:rsidR="00933EFB">
        <w:t>gminy</w:t>
      </w:r>
      <w:r w:rsidR="00B914B7">
        <w:t xml:space="preserve"> oceniają poszczególne </w:t>
      </w:r>
      <w:r w:rsidR="00933EFB">
        <w:t>obszary życia w gminie</w:t>
      </w:r>
      <w:r w:rsidR="00B914B7">
        <w:t>.</w:t>
      </w:r>
    </w:p>
    <w:p w14:paraId="1C382B9C" w14:textId="62684BC5" w:rsidR="00427C1D" w:rsidRDefault="00427C1D" w:rsidP="00F31DF6">
      <w:pPr>
        <w:spacing w:after="120" w:line="240" w:lineRule="auto"/>
        <w:jc w:val="both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EF3A7C">
        <w:rPr>
          <w:b/>
          <w:iCs/>
          <w:noProof/>
          <w:sz w:val="20"/>
          <w:szCs w:val="20"/>
        </w:rPr>
        <w:t>7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Ocena poszczególnych </w:t>
      </w:r>
      <w:r w:rsidR="006C1566">
        <w:rPr>
          <w:b/>
          <w:iCs/>
          <w:sz w:val="20"/>
          <w:szCs w:val="20"/>
        </w:rPr>
        <w:t>aspektów życia w gminie</w:t>
      </w:r>
      <w:r w:rsidRPr="00427C1D">
        <w:rPr>
          <w:b/>
          <w:iCs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1056"/>
        <w:gridCol w:w="1056"/>
        <w:gridCol w:w="1056"/>
        <w:gridCol w:w="1055"/>
        <w:gridCol w:w="1055"/>
      </w:tblGrid>
      <w:tr w:rsidR="006C1566" w:rsidRPr="001C2E47" w14:paraId="3B3BF1E7" w14:textId="77777777" w:rsidTr="008D436C">
        <w:trPr>
          <w:trHeight w:val="600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4C8" w14:textId="77777777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313D3E" w14:textId="2D86FA98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6C15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Bardzo źle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072C2C" w14:textId="27AD2F16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6C15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Źle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3653BF" w14:textId="67270CB7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6C15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Średnio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37B655" w14:textId="3C5A6AA8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6C15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Dobrze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5A9CBD" w14:textId="52DD2A51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</w:pPr>
            <w:r w:rsidRPr="006C15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Bardzo dobrze</w:t>
            </w:r>
          </w:p>
        </w:tc>
      </w:tr>
      <w:tr w:rsidR="006C1566" w:rsidRPr="001C2E47" w14:paraId="4993ED26" w14:textId="77777777" w:rsidTr="008D436C">
        <w:trPr>
          <w:trHeight w:val="254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C7C" w14:textId="54B41D77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Estetyka i czystość w gminie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6C020E" w14:textId="204AE47D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1,11%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977E9E" w14:textId="660556F9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12,22%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E161B2" w14:textId="26275BA9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40,00%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6DAB87" w14:textId="0553D98D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41,11%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5A26EC" w14:textId="765EE771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5,56%</w:t>
            </w:r>
          </w:p>
        </w:tc>
      </w:tr>
      <w:tr w:rsidR="006C1566" w:rsidRPr="001C2E47" w14:paraId="55EF6AF0" w14:textId="77777777" w:rsidTr="008D436C">
        <w:trPr>
          <w:trHeight w:val="427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43C" w14:textId="3EBE5589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Bezpieczeństwo mieszkańców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2C9BEF" w14:textId="1D71D122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670D5F" w14:textId="2938D125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6,67%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78BE92" w14:textId="6AD883E3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26,67%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339E57" w14:textId="6BF3CA0C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51,11%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4E2507" w14:textId="120EED69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15,56%</w:t>
            </w:r>
          </w:p>
        </w:tc>
      </w:tr>
      <w:tr w:rsidR="006C1566" w:rsidRPr="001C2E47" w14:paraId="2C84E360" w14:textId="77777777" w:rsidTr="008D436C">
        <w:trPr>
          <w:trHeight w:val="264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5A85" w14:textId="343F31F2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Ekologia i gospodarka odpadami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2B7849" w14:textId="7E98E822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7,78%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AB2456F" w14:textId="7EC699EB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11,11%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1EA704" w14:textId="75158550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34,44%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6FA0950" w14:textId="359B6F58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34,44%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441922" w14:textId="785EF51A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12,22%</w:t>
            </w:r>
          </w:p>
        </w:tc>
      </w:tr>
      <w:tr w:rsidR="006C1566" w:rsidRPr="001C2E47" w14:paraId="7F2C87A5" w14:textId="77777777" w:rsidTr="008D436C">
        <w:trPr>
          <w:trHeight w:val="268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24C" w14:textId="5B7C970D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Zieleń komunalna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ABB31C" w14:textId="1E6AEAB5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4,44%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0322C9" w14:textId="49ACBD6E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16,67%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5A4C1D" w14:textId="354131A0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37,78%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26DF3C" w14:textId="6D2A6475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4ECD74" w14:textId="1A020F4C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11,11%</w:t>
            </w:r>
          </w:p>
        </w:tc>
      </w:tr>
      <w:tr w:rsidR="006C1566" w:rsidRPr="001C2E47" w14:paraId="294F136D" w14:textId="77777777" w:rsidTr="008D436C">
        <w:trPr>
          <w:trHeight w:val="38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118" w14:textId="284FDB24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Stan dróg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68B52D" w14:textId="21F71521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6,67%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FB31B3" w14:textId="51F01919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27,78%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9AE7C43" w14:textId="2521EF85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37,78%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E2072F" w14:textId="592ADD0F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25,56%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B3A5EAF" w14:textId="3AA9E512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2,22%</w:t>
            </w:r>
          </w:p>
        </w:tc>
      </w:tr>
      <w:tr w:rsidR="006C1566" w:rsidRPr="001C2E47" w14:paraId="371F00F6" w14:textId="77777777" w:rsidTr="008D436C">
        <w:trPr>
          <w:trHeight w:val="3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ABF" w14:textId="14196547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Stan chodników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50E2C89" w14:textId="5007E22E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13,33%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CF53DE" w14:textId="275E15F2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27,78%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D14C27" w14:textId="4D4D5F34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33,33%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637292" w14:textId="32845262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24,44%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2F355D" w14:textId="136CE185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1,11%</w:t>
            </w:r>
          </w:p>
        </w:tc>
      </w:tr>
      <w:tr w:rsidR="006C1566" w:rsidRPr="001C2E47" w14:paraId="10E02953" w14:textId="77777777" w:rsidTr="008D436C">
        <w:trPr>
          <w:trHeight w:val="318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9E7B" w14:textId="4E8E2E8A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Jakość oświaty na poziomie podstawowym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F0A89B" w14:textId="694FBC20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4,44%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810692" w14:textId="637450FC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E5D4B8" w14:textId="251881AC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28,89%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1E9434" w14:textId="297B834D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45,56%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6283E05" w14:textId="0C0F816B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11,11%</w:t>
            </w:r>
          </w:p>
        </w:tc>
      </w:tr>
      <w:tr w:rsidR="006C1566" w:rsidRPr="001C2E47" w14:paraId="6FC3BD85" w14:textId="77777777" w:rsidTr="008D436C">
        <w:trPr>
          <w:trHeight w:val="2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1106" w14:textId="5FF329FB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Opieka nad dziećmi (żłobki i przedszkola)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FFCBAE" w14:textId="6FC69B1C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2,22%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35840A" w14:textId="07026798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1,11%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4175C72" w14:textId="5973E216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22,22%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4276C1" w14:textId="409D71AE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46,67%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D28EF8" w14:textId="04BC69CC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27,78%</w:t>
            </w:r>
          </w:p>
        </w:tc>
      </w:tr>
      <w:tr w:rsidR="006C1566" w:rsidRPr="001C2E47" w14:paraId="24A22CB4" w14:textId="77777777" w:rsidTr="008D436C">
        <w:trPr>
          <w:trHeight w:val="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9A37" w14:textId="0F224771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Stan i dostępność infrastruktury sportowej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0B1669" w14:textId="0695CB14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3,33%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67793B" w14:textId="7AF56101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A2CA63" w14:textId="733B55C9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28,89%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3B1EC5" w14:textId="0F606289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41,11%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182722" w14:textId="3C1758E6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16,67%</w:t>
            </w:r>
          </w:p>
        </w:tc>
      </w:tr>
      <w:tr w:rsidR="006C1566" w:rsidRPr="001C2E47" w14:paraId="056E6462" w14:textId="77777777" w:rsidTr="008D436C">
        <w:trPr>
          <w:trHeight w:val="274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7B3" w14:textId="11FACC3F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Oferta kulturalno-rozrywkowa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2944B7" w14:textId="39E0D4F8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5,56%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3DEF88" w14:textId="030BEB2C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27,78%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51B0015" w14:textId="546DCA6B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37,78%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DF1101" w14:textId="4B2EDB4F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21,11%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9C1214" w14:textId="21002AD3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7,78%</w:t>
            </w:r>
          </w:p>
        </w:tc>
      </w:tr>
      <w:tr w:rsidR="006C1566" w:rsidRPr="001C2E47" w14:paraId="465FCE0D" w14:textId="77777777" w:rsidTr="008D436C">
        <w:trPr>
          <w:trHeight w:val="308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247" w14:textId="7034DCB9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Standard i dostępność mieszkań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37D5436" w14:textId="4467EBA3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16,67%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1496B9" w14:textId="452B8262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38,89%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E721C1" w14:textId="78EA9CF3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28,89%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06CE31" w14:textId="59C22EC7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14,44%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82108EB" w14:textId="7A26FA3F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1,11%</w:t>
            </w:r>
          </w:p>
        </w:tc>
      </w:tr>
      <w:tr w:rsidR="006C1566" w:rsidRPr="001C2E47" w14:paraId="1B723521" w14:textId="77777777" w:rsidTr="008D436C">
        <w:trPr>
          <w:trHeight w:val="60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8C7" w14:textId="7DD5E7C1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Możliwości znalezienia pracy w gminie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07D540" w14:textId="43BF3169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42,22%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8CD4DD" w14:textId="1BD1BA24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35,56%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CEE93F" w14:textId="17021B93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16,67%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D6C9E3" w14:textId="65D8420D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4,44%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80BE58E" w14:textId="00222A8C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1,11%</w:t>
            </w:r>
          </w:p>
        </w:tc>
      </w:tr>
      <w:tr w:rsidR="006C1566" w:rsidRPr="001C2E47" w14:paraId="6B9BC69D" w14:textId="77777777" w:rsidTr="008D436C">
        <w:trPr>
          <w:trHeight w:val="364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3D7" w14:textId="20D67B38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Dostęp do usług służby zdrowia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390234" w14:textId="7B3883A7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4,44%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2168073" w14:textId="52AD5DAF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21,11%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4A837C" w14:textId="13431984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35,56%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9A2FF5E" w14:textId="178F064D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34,44%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2B9263" w14:textId="1DC5002A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4,44%</w:t>
            </w:r>
          </w:p>
        </w:tc>
      </w:tr>
      <w:tr w:rsidR="006C1566" w:rsidRPr="001C2E47" w14:paraId="0CF181CE" w14:textId="77777777" w:rsidTr="008D436C">
        <w:trPr>
          <w:trHeight w:val="2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6F64" w14:textId="17F0F01D" w:rsidR="006C1566" w:rsidRPr="001C2E47" w:rsidRDefault="006C1566" w:rsidP="006C156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C156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Dostępność infrastruktury publicznej dla osób niepełnosprawnych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B0140FF" w14:textId="34E1B695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2,22%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273F2C" w14:textId="2137A689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20,00%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EAF27DD" w14:textId="6D8DF4FD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52,22%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9941EB" w14:textId="68D3810E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23,33%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82BF4C" w14:textId="5F8912B6" w:rsidR="006C1566" w:rsidRPr="006C1566" w:rsidRDefault="006C1566" w:rsidP="006C1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566">
              <w:rPr>
                <w:rFonts w:asciiTheme="minorHAnsi" w:hAnsiTheme="minorHAnsi" w:cstheme="minorHAnsi"/>
                <w:sz w:val="16"/>
                <w:szCs w:val="16"/>
              </w:rPr>
              <w:t>2,22%</w:t>
            </w:r>
          </w:p>
        </w:tc>
      </w:tr>
      <w:tr w:rsidR="008D436C" w:rsidRPr="001C2E47" w14:paraId="6EC0CDB0" w14:textId="77777777" w:rsidTr="008D436C">
        <w:trPr>
          <w:trHeight w:val="286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37F" w14:textId="77777777" w:rsidR="008D436C" w:rsidRPr="001C2E47" w:rsidRDefault="008D436C" w:rsidP="008D436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C2E4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współpraca z organizacjami pozarządowymi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2D9A43A" w14:textId="70B3B08C" w:rsidR="008D436C" w:rsidRPr="008D436C" w:rsidRDefault="008D436C" w:rsidP="008D43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D436C">
              <w:rPr>
                <w:rFonts w:asciiTheme="minorHAnsi" w:hAnsiTheme="minorHAnsi" w:cstheme="minorHAnsi"/>
                <w:sz w:val="16"/>
                <w:szCs w:val="16"/>
              </w:rPr>
              <w:t>5,88%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7DE450" w14:textId="757B2FE7" w:rsidR="008D436C" w:rsidRPr="008D436C" w:rsidRDefault="008D436C" w:rsidP="008D43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D436C">
              <w:rPr>
                <w:rFonts w:asciiTheme="minorHAnsi" w:hAnsiTheme="minorHAnsi" w:cstheme="minorHAnsi"/>
                <w:sz w:val="16"/>
                <w:szCs w:val="16"/>
              </w:rPr>
              <w:t>35,29%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ACC773" w14:textId="4E875536" w:rsidR="008D436C" w:rsidRPr="008D436C" w:rsidRDefault="008D436C" w:rsidP="008D43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D436C">
              <w:rPr>
                <w:rFonts w:asciiTheme="minorHAnsi" w:hAnsiTheme="minorHAnsi" w:cstheme="minorHAnsi"/>
                <w:sz w:val="16"/>
                <w:szCs w:val="16"/>
              </w:rPr>
              <w:t>41,18%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6C7766" w14:textId="0A7FC44F" w:rsidR="008D436C" w:rsidRPr="008D436C" w:rsidRDefault="008D436C" w:rsidP="008D43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D436C">
              <w:rPr>
                <w:rFonts w:asciiTheme="minorHAnsi" w:hAnsiTheme="minorHAnsi" w:cstheme="minorHAnsi"/>
                <w:sz w:val="16"/>
                <w:szCs w:val="16"/>
              </w:rPr>
              <w:t>10,78%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2D37C1" w14:textId="660B6FAE" w:rsidR="008D436C" w:rsidRPr="008D436C" w:rsidRDefault="008D436C" w:rsidP="008D43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D436C">
              <w:rPr>
                <w:rFonts w:asciiTheme="minorHAnsi" w:hAnsiTheme="minorHAnsi" w:cstheme="minorHAnsi"/>
                <w:sz w:val="16"/>
                <w:szCs w:val="16"/>
              </w:rPr>
              <w:t>6,86%</w:t>
            </w:r>
          </w:p>
        </w:tc>
      </w:tr>
    </w:tbl>
    <w:p w14:paraId="03DA9892" w14:textId="3617F25A" w:rsidR="00427C1D" w:rsidRPr="00427C1D" w:rsidRDefault="00057718" w:rsidP="00427C1D">
      <w:pPr>
        <w:spacing w:after="120" w:line="240" w:lineRule="auto"/>
        <w:jc w:val="both"/>
        <w:rPr>
          <w:i/>
        </w:rPr>
      </w:pPr>
      <w:r>
        <w:rPr>
          <w:i/>
        </w:rPr>
        <w:t xml:space="preserve">Źródło: Badanie </w:t>
      </w:r>
      <w:r w:rsidRPr="005A0FF2">
        <w:rPr>
          <w:i/>
        </w:rPr>
        <w:t xml:space="preserve">ankietowe </w:t>
      </w:r>
      <w:r w:rsidR="00FF080B" w:rsidRPr="005A0FF2">
        <w:rPr>
          <w:i/>
        </w:rPr>
        <w:t>CAWI i PAPI, N</w:t>
      </w:r>
      <w:r w:rsidR="00FF080B" w:rsidRPr="00427C1D">
        <w:rPr>
          <w:i/>
        </w:rPr>
        <w:t>=</w:t>
      </w:r>
      <w:r w:rsidR="006C1566">
        <w:rPr>
          <w:i/>
        </w:rPr>
        <w:t>90</w:t>
      </w:r>
    </w:p>
    <w:p w14:paraId="0C77C0CD" w14:textId="77777777" w:rsidR="001205B6" w:rsidRDefault="001205B6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14:paraId="692C305E" w14:textId="1C98C64F" w:rsidR="00427C1D" w:rsidRDefault="00427C1D" w:rsidP="00427C1D">
      <w:pPr>
        <w:spacing w:line="240" w:lineRule="auto"/>
        <w:jc w:val="both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Wykres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Wykres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9715C4">
        <w:rPr>
          <w:b/>
          <w:iCs/>
          <w:noProof/>
          <w:sz w:val="20"/>
          <w:szCs w:val="20"/>
        </w:rPr>
        <w:t>2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Ocena poszczególnych </w:t>
      </w:r>
      <w:r w:rsidR="006C1566">
        <w:rPr>
          <w:b/>
          <w:iCs/>
          <w:sz w:val="20"/>
          <w:szCs w:val="20"/>
        </w:rPr>
        <w:t>aspektów życia w gminie</w:t>
      </w:r>
    </w:p>
    <w:p w14:paraId="5F487351" w14:textId="216C4974" w:rsidR="00084E41" w:rsidRPr="00427C1D" w:rsidRDefault="006C1566" w:rsidP="00427C1D">
      <w:pPr>
        <w:spacing w:line="240" w:lineRule="auto"/>
        <w:jc w:val="both"/>
        <w:rPr>
          <w:iCs/>
          <w:color w:val="44546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24AB477" wp14:editId="42144B3F">
            <wp:extent cx="5760720" cy="6026150"/>
            <wp:effectExtent l="0" t="0" r="11430" b="1270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7CDD36" w14:textId="050698CD" w:rsidR="001205B6" w:rsidRPr="00427C1D" w:rsidRDefault="001205B6" w:rsidP="001205B6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Źródło: Bad</w:t>
      </w:r>
      <w:r w:rsidR="00490592">
        <w:rPr>
          <w:i/>
        </w:rPr>
        <w:t xml:space="preserve">anie </w:t>
      </w:r>
      <w:r w:rsidR="00490592" w:rsidRPr="005A0FF2">
        <w:rPr>
          <w:i/>
        </w:rPr>
        <w:t xml:space="preserve">ankietowe </w:t>
      </w:r>
      <w:r w:rsidR="00FF080B" w:rsidRPr="005A0FF2">
        <w:rPr>
          <w:i/>
        </w:rPr>
        <w:t>CAWI i PAPI,</w:t>
      </w:r>
      <w:r w:rsidR="00FF080B" w:rsidRPr="00427C1D">
        <w:rPr>
          <w:i/>
        </w:rPr>
        <w:t xml:space="preserve"> N=</w:t>
      </w:r>
      <w:r w:rsidR="0035651E">
        <w:rPr>
          <w:i/>
        </w:rPr>
        <w:t>90</w:t>
      </w:r>
    </w:p>
    <w:p w14:paraId="28626CB2" w14:textId="337704A1" w:rsidR="0009507F" w:rsidRDefault="00BF20B2" w:rsidP="00BF20B2">
      <w:pPr>
        <w:autoSpaceDE w:val="0"/>
        <w:autoSpaceDN w:val="0"/>
        <w:adjustRightInd w:val="0"/>
        <w:spacing w:after="0" w:line="240" w:lineRule="auto"/>
        <w:jc w:val="both"/>
      </w:pPr>
      <w:r>
        <w:t>Następnie poproszono ankietowanych o wskazanie k</w:t>
      </w:r>
      <w:r w:rsidRPr="00BF20B2">
        <w:t>t</w:t>
      </w:r>
      <w:r>
        <w:t>ó</w:t>
      </w:r>
      <w:r w:rsidRPr="00BF20B2">
        <w:t>re z powy</w:t>
      </w:r>
      <w:r w:rsidRPr="00BF20B2">
        <w:rPr>
          <w:rFonts w:hint="eastAsia"/>
        </w:rPr>
        <w:t>ż</w:t>
      </w:r>
      <w:r w:rsidRPr="00BF20B2">
        <w:t xml:space="preserve">szych aspektów </w:t>
      </w:r>
      <w:r w:rsidRPr="00BF20B2">
        <w:rPr>
          <w:rFonts w:hint="eastAsia"/>
        </w:rPr>
        <w:t>ż</w:t>
      </w:r>
      <w:r w:rsidRPr="00BF20B2">
        <w:t>ycia w gminie wymagaj</w:t>
      </w:r>
      <w:r w:rsidRPr="00BF20B2">
        <w:rPr>
          <w:rFonts w:hint="eastAsia"/>
        </w:rPr>
        <w:t>ą</w:t>
      </w:r>
      <w:r w:rsidRPr="00BF20B2">
        <w:t xml:space="preserve"> podj</w:t>
      </w:r>
      <w:r w:rsidRPr="00BF20B2">
        <w:rPr>
          <w:rFonts w:hint="eastAsia"/>
        </w:rPr>
        <w:t>ę</w:t>
      </w:r>
      <w:r w:rsidRPr="00BF20B2">
        <w:t>cia przez</w:t>
      </w:r>
      <w:r>
        <w:t xml:space="preserve"> </w:t>
      </w:r>
      <w:r w:rsidRPr="00BF20B2">
        <w:t>w</w:t>
      </w:r>
      <w:r w:rsidRPr="00BF20B2">
        <w:rPr>
          <w:rFonts w:hint="eastAsia"/>
        </w:rPr>
        <w:t>ł</w:t>
      </w:r>
      <w:r w:rsidRPr="00BF20B2">
        <w:t>adze priorytetowych dzia</w:t>
      </w:r>
      <w:r w:rsidRPr="00BF20B2">
        <w:rPr>
          <w:rFonts w:hint="eastAsia"/>
        </w:rPr>
        <w:t>ł</w:t>
      </w:r>
      <w:r w:rsidRPr="00BF20B2">
        <w:t>a</w:t>
      </w:r>
      <w:r w:rsidRPr="00BF20B2">
        <w:rPr>
          <w:rFonts w:hint="eastAsia"/>
        </w:rPr>
        <w:t>ń</w:t>
      </w:r>
      <w:r>
        <w:t xml:space="preserve">. I tak </w:t>
      </w:r>
      <w:r w:rsidR="00B44C8A">
        <w:t>j</w:t>
      </w:r>
      <w:r w:rsidR="00B44C8A" w:rsidRPr="0099132B">
        <w:t>ako obszary wymagając</w:t>
      </w:r>
      <w:r w:rsidR="00B44C8A">
        <w:t>e</w:t>
      </w:r>
      <w:r w:rsidR="00B44C8A" w:rsidRPr="0099132B">
        <w:t xml:space="preserve"> najpilniejszego wsparcia </w:t>
      </w:r>
      <w:r w:rsidR="0099132B">
        <w:t xml:space="preserve">respondenci </w:t>
      </w:r>
      <w:r w:rsidR="00427C1D" w:rsidRPr="0099132B">
        <w:t>wskaza</w:t>
      </w:r>
      <w:r w:rsidR="0099132B">
        <w:t>li</w:t>
      </w:r>
      <w:r w:rsidR="00427C1D" w:rsidRPr="0099132B">
        <w:t xml:space="preserve"> </w:t>
      </w:r>
      <w:r w:rsidR="00D85F8E">
        <w:t>ex aequo możliwości znalezienia pracy w gminie</w:t>
      </w:r>
      <w:r w:rsidR="00900872">
        <w:t xml:space="preserve"> (</w:t>
      </w:r>
      <w:r w:rsidR="00D85F8E">
        <w:t>20</w:t>
      </w:r>
      <w:r w:rsidR="00900872">
        <w:t>,</w:t>
      </w:r>
      <w:r w:rsidR="00D85F8E">
        <w:t>08</w:t>
      </w:r>
      <w:r w:rsidR="00900872">
        <w:t>%)</w:t>
      </w:r>
      <w:r w:rsidR="00D85F8E">
        <w:t xml:space="preserve"> oraz</w:t>
      </w:r>
      <w:r w:rsidR="005B6AF3" w:rsidRPr="0099132B">
        <w:t xml:space="preserve"> </w:t>
      </w:r>
      <w:r w:rsidR="00D85F8E">
        <w:t>stan dróg</w:t>
      </w:r>
      <w:r w:rsidR="007C1C20">
        <w:t xml:space="preserve"> (</w:t>
      </w:r>
      <w:r w:rsidR="00D85F8E">
        <w:t>20</w:t>
      </w:r>
      <w:r w:rsidR="007C1C20">
        <w:t>,</w:t>
      </w:r>
      <w:r w:rsidR="00D85F8E">
        <w:t>08</w:t>
      </w:r>
      <w:r w:rsidR="009A2CEF" w:rsidRPr="0099132B">
        <w:t>%)</w:t>
      </w:r>
      <w:r w:rsidR="00D85F8E">
        <w:t>,</w:t>
      </w:r>
      <w:r w:rsidR="004669D7">
        <w:t xml:space="preserve"> </w:t>
      </w:r>
      <w:r w:rsidR="00D85F8E">
        <w:t>na trzecim miejscu wskazano</w:t>
      </w:r>
      <w:r w:rsidR="004669D7">
        <w:t xml:space="preserve"> </w:t>
      </w:r>
      <w:r w:rsidR="00D85F8E">
        <w:t>stan chodników</w:t>
      </w:r>
      <w:r w:rsidR="004669D7" w:rsidRPr="0099132B">
        <w:t xml:space="preserve"> (</w:t>
      </w:r>
      <w:r w:rsidR="004669D7">
        <w:t>1</w:t>
      </w:r>
      <w:r w:rsidR="00D85F8E">
        <w:t>6</w:t>
      </w:r>
      <w:r w:rsidR="004669D7">
        <w:t>,</w:t>
      </w:r>
      <w:r w:rsidR="00D85F8E">
        <w:t>87</w:t>
      </w:r>
      <w:r w:rsidR="004669D7" w:rsidRPr="0099132B">
        <w:t>%)</w:t>
      </w:r>
      <w:r w:rsidR="00427C1D" w:rsidRPr="0099132B">
        <w:t xml:space="preserve">. </w:t>
      </w:r>
      <w:r w:rsidR="005304BB">
        <w:t>Powyższe wskazania p</w:t>
      </w:r>
      <w:r w:rsidR="0009507F" w:rsidRPr="009C6602">
        <w:t>okrywa</w:t>
      </w:r>
      <w:r w:rsidR="005304BB">
        <w:t>ją</w:t>
      </w:r>
      <w:r w:rsidR="0009507F" w:rsidRPr="009C6602">
        <w:t xml:space="preserve"> się z oceną poszczegól</w:t>
      </w:r>
      <w:r w:rsidR="005304BB">
        <w:t xml:space="preserve">nych </w:t>
      </w:r>
      <w:r w:rsidR="00D85F8E">
        <w:t>aspektów życia w gminie</w:t>
      </w:r>
      <w:r w:rsidR="005304BB">
        <w:t>.</w:t>
      </w:r>
      <w:r w:rsidR="00BF342A" w:rsidRPr="009C6602">
        <w:t xml:space="preserve"> </w:t>
      </w:r>
      <w:r w:rsidR="00F43984">
        <w:t>Ponadto w odpowiedzi „Inne” najczęściej wskazywano komunikację publiczną jako obszar wymagający wsparcia.</w:t>
      </w:r>
    </w:p>
    <w:p w14:paraId="62F0A787" w14:textId="721902E1" w:rsidR="00427C1D" w:rsidRPr="00427C1D" w:rsidRDefault="00427C1D" w:rsidP="00427C1D">
      <w:pPr>
        <w:spacing w:after="12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F41082">
        <w:rPr>
          <w:b/>
          <w:iCs/>
          <w:noProof/>
          <w:sz w:val="20"/>
          <w:szCs w:val="20"/>
        </w:rPr>
        <w:t>8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</w:t>
      </w:r>
      <w:r w:rsidR="00BC112A">
        <w:rPr>
          <w:b/>
          <w:iCs/>
          <w:sz w:val="20"/>
          <w:szCs w:val="20"/>
        </w:rPr>
        <w:t>Aspekty życia w gminie</w:t>
      </w:r>
      <w:r w:rsidRPr="00427C1D">
        <w:rPr>
          <w:b/>
          <w:iCs/>
          <w:sz w:val="20"/>
          <w:szCs w:val="20"/>
        </w:rPr>
        <w:t xml:space="preserve"> wymagające najpilniejszego wsparcia</w:t>
      </w:r>
      <w:r w:rsidRPr="00427C1D">
        <w:rPr>
          <w:rFonts w:eastAsia="Times New Roman" w:cs="Arial"/>
          <w:i/>
          <w:iCs/>
          <w:color w:val="44546A"/>
          <w:sz w:val="20"/>
          <w:szCs w:val="20"/>
          <w:lang w:eastAsia="pl-PL"/>
        </w:rPr>
        <w:t xml:space="preserve"> </w:t>
      </w:r>
      <w:r w:rsidR="000E62A8">
        <w:rPr>
          <w:rStyle w:val="Odwoanieprzypisudolnego"/>
          <w:b/>
          <w:iCs/>
          <w:sz w:val="20"/>
          <w:szCs w:val="20"/>
        </w:rPr>
        <w:footnoteReference w:id="1"/>
      </w:r>
      <w:r w:rsidRPr="00427C1D">
        <w:rPr>
          <w:b/>
          <w:iCs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1623"/>
        <w:gridCol w:w="1623"/>
      </w:tblGrid>
      <w:tr w:rsidR="004D3359" w:rsidRPr="003D69C1" w14:paraId="5B39623F" w14:textId="77777777" w:rsidTr="007E13CE">
        <w:trPr>
          <w:trHeight w:val="424"/>
        </w:trPr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ABC" w14:textId="77777777" w:rsidR="004D3359" w:rsidRPr="003D69C1" w:rsidRDefault="004D3359" w:rsidP="004D335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F37720" w14:textId="77777777" w:rsidR="004D3359" w:rsidRPr="003D69C1" w:rsidRDefault="004D3359" w:rsidP="004D335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2DF5BF" w14:textId="77777777" w:rsidR="004D3359" w:rsidRPr="003D69C1" w:rsidRDefault="004D3359" w:rsidP="004D335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BF20B2" w:rsidRPr="003D69C1" w14:paraId="2DB6813E" w14:textId="77777777" w:rsidTr="007E13CE">
        <w:trPr>
          <w:trHeight w:val="234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E21" w14:textId="1CC209AD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Estetyka i czystość w gminie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07404DD" w14:textId="4016105E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EB7A0F" w14:textId="7E4A8212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2,41%</w:t>
            </w:r>
          </w:p>
        </w:tc>
      </w:tr>
      <w:tr w:rsidR="00BF20B2" w:rsidRPr="003D69C1" w14:paraId="6BC32B3A" w14:textId="77777777" w:rsidTr="007E13CE">
        <w:trPr>
          <w:trHeight w:val="28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1A9" w14:textId="6C1F2E37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Bezpieczeństwo mieszkańców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119DF1" w14:textId="516B43AF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E4EF74" w14:textId="613C5CC2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4,02%</w:t>
            </w:r>
          </w:p>
        </w:tc>
      </w:tr>
      <w:tr w:rsidR="00BF20B2" w:rsidRPr="003D69C1" w14:paraId="2B9E1AC5" w14:textId="77777777" w:rsidTr="007E13CE">
        <w:trPr>
          <w:trHeight w:val="27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41A" w14:textId="3F4CE5DB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 xml:space="preserve">Ekologia i gospodarka odpadami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E018FCD" w14:textId="155DC88A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F69AD1" w14:textId="28C8D6C1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7,63%</w:t>
            </w:r>
          </w:p>
        </w:tc>
      </w:tr>
      <w:tr w:rsidR="00BF20B2" w:rsidRPr="003D69C1" w14:paraId="4BC5B0D3" w14:textId="77777777" w:rsidTr="007E13CE">
        <w:trPr>
          <w:trHeight w:val="274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F0C" w14:textId="21D13EBF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 xml:space="preserve">Zieleń komunalna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2F1424" w14:textId="684C46D9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246864" w14:textId="26FB1391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1,61%</w:t>
            </w:r>
          </w:p>
        </w:tc>
      </w:tr>
      <w:tr w:rsidR="00BF20B2" w:rsidRPr="003D69C1" w14:paraId="54A4F76C" w14:textId="77777777" w:rsidTr="007E13CE">
        <w:trPr>
          <w:trHeight w:val="278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916" w14:textId="3D588E0F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Stan dróg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5557A69" w14:textId="27C79CAA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45ED14" w14:textId="23564424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20,08%</w:t>
            </w:r>
          </w:p>
        </w:tc>
      </w:tr>
      <w:tr w:rsidR="00BF20B2" w:rsidRPr="003D69C1" w14:paraId="47E28EF0" w14:textId="77777777" w:rsidTr="007E13CE">
        <w:trPr>
          <w:trHeight w:val="268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DE4C" w14:textId="4BF7AC77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Stan chodników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0C0F14F" w14:textId="54CF7829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F64C87" w14:textId="0F7F621B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16,87%</w:t>
            </w:r>
          </w:p>
        </w:tc>
      </w:tr>
      <w:tr w:rsidR="00BF20B2" w:rsidRPr="003D69C1" w14:paraId="08348B0E" w14:textId="77777777" w:rsidTr="007E13CE">
        <w:trPr>
          <w:trHeight w:val="27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A5B" w14:textId="43CAB5D3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 xml:space="preserve">Jakość oświaty na poziomie podstawowym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6CE7D9" w14:textId="0272D658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075429" w14:textId="2914A774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2,81%</w:t>
            </w:r>
          </w:p>
        </w:tc>
      </w:tr>
      <w:tr w:rsidR="00BF20B2" w:rsidRPr="003D69C1" w14:paraId="290A1024" w14:textId="77777777" w:rsidTr="007E13CE">
        <w:trPr>
          <w:trHeight w:val="276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99D" w14:textId="07E269E2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Opieka nad dziećmi (żłobki i przedszkola)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5FE85A" w14:textId="116EC971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616FC8" w14:textId="4ADA9897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1,61%</w:t>
            </w:r>
          </w:p>
        </w:tc>
      </w:tr>
      <w:tr w:rsidR="00BF20B2" w:rsidRPr="003D69C1" w14:paraId="2D035739" w14:textId="77777777" w:rsidTr="007E13CE">
        <w:trPr>
          <w:trHeight w:val="28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FAC" w14:textId="4DE8A6D7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 xml:space="preserve">Stan i dostępność infrastruktury sportowej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D7DDC0" w14:textId="7442ED97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62E54B" w14:textId="449CAC82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2,41%</w:t>
            </w:r>
          </w:p>
        </w:tc>
      </w:tr>
      <w:tr w:rsidR="00BF20B2" w:rsidRPr="003D69C1" w14:paraId="0AAFD312" w14:textId="77777777" w:rsidTr="007E13CE">
        <w:trPr>
          <w:trHeight w:val="27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EB8A" w14:textId="1FDE7130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Oferta kulturalno-rozrywkowa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99F20F" w14:textId="74C83EFE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E81D10" w14:textId="5ACB2F7A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5,22%</w:t>
            </w:r>
          </w:p>
        </w:tc>
      </w:tr>
      <w:tr w:rsidR="00BF20B2" w:rsidRPr="003D69C1" w14:paraId="3D474054" w14:textId="77777777" w:rsidTr="007E13CE">
        <w:trPr>
          <w:trHeight w:val="299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E5E" w14:textId="718C4D59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Standard i dostępność mieszkań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8D0E1CC" w14:textId="089B0D6C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732B0B" w14:textId="2DB8ED92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4,82%</w:t>
            </w:r>
          </w:p>
        </w:tc>
      </w:tr>
      <w:tr w:rsidR="00BF20B2" w:rsidRPr="003D69C1" w14:paraId="2D64A35A" w14:textId="77777777" w:rsidTr="00BC112A">
        <w:trPr>
          <w:trHeight w:val="31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F9A" w14:textId="5ECF8DB1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Możliwości znalezienia pracy w gminie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0CA606" w14:textId="33E4BB41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4A106A" w14:textId="6CB0D557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20,08%</w:t>
            </w:r>
          </w:p>
        </w:tc>
      </w:tr>
      <w:tr w:rsidR="00BF20B2" w:rsidRPr="003D69C1" w14:paraId="2664F8A4" w14:textId="77777777" w:rsidTr="007E13CE">
        <w:trPr>
          <w:trHeight w:val="208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C4E" w14:textId="1B832D67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Dostęp do usług służby zdrowia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3C702F" w14:textId="25D8FB4E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A8AF97" w14:textId="442BB045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6,02%</w:t>
            </w:r>
          </w:p>
        </w:tc>
      </w:tr>
      <w:tr w:rsidR="00BF20B2" w:rsidRPr="003D69C1" w14:paraId="1A0AB455" w14:textId="77777777" w:rsidTr="007E13CE">
        <w:trPr>
          <w:trHeight w:val="28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BAE" w14:textId="7CE4BFD6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Dostępność infrastruktury publicznej dla osób niepełnosprawnych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CC7C5B" w14:textId="1A82B2CF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CB871A" w14:textId="13045CA9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0,00%</w:t>
            </w:r>
          </w:p>
        </w:tc>
      </w:tr>
      <w:tr w:rsidR="00BF20B2" w:rsidRPr="003D69C1" w14:paraId="6A10542D" w14:textId="77777777" w:rsidTr="007E13CE">
        <w:trPr>
          <w:trHeight w:val="27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A16" w14:textId="69AD4A7D" w:rsidR="00BF20B2" w:rsidRPr="00BC112A" w:rsidRDefault="00BF20B2" w:rsidP="00BF20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851339" w14:textId="47A5FE29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3F6B9E" w14:textId="10700B10" w:rsidR="00BF20B2" w:rsidRPr="00BC112A" w:rsidRDefault="00BF20B2" w:rsidP="00BF2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12A">
              <w:rPr>
                <w:rFonts w:asciiTheme="minorHAnsi" w:hAnsiTheme="minorHAnsi" w:cstheme="minorHAnsi"/>
                <w:sz w:val="16"/>
                <w:szCs w:val="16"/>
              </w:rPr>
              <w:t>4,42%</w:t>
            </w:r>
          </w:p>
        </w:tc>
      </w:tr>
    </w:tbl>
    <w:p w14:paraId="625B842E" w14:textId="02C996D5" w:rsidR="00427C1D" w:rsidRDefault="00427C1D" w:rsidP="00427C1D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5304BB">
        <w:rPr>
          <w:i/>
        </w:rPr>
        <w:t xml:space="preserve">o: Badanie </w:t>
      </w:r>
      <w:r w:rsidR="005304BB" w:rsidRPr="00EF3A7C">
        <w:rPr>
          <w:i/>
        </w:rPr>
        <w:t xml:space="preserve">ankietowe </w:t>
      </w:r>
      <w:r w:rsidR="008D436C" w:rsidRPr="00EF3A7C">
        <w:rPr>
          <w:i/>
        </w:rPr>
        <w:t>CAWI i PAPI, N=</w:t>
      </w:r>
      <w:r w:rsidR="00BC112A">
        <w:rPr>
          <w:i/>
        </w:rPr>
        <w:t>90</w:t>
      </w:r>
    </w:p>
    <w:p w14:paraId="6BEABFA9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27C7A644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31423986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54A593B5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6F207246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4ACCDA5F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2FE23A91" w14:textId="77777777" w:rsidR="009E6ED5" w:rsidRDefault="009E6ED5" w:rsidP="00427C1D">
      <w:pPr>
        <w:spacing w:after="120" w:line="240" w:lineRule="auto"/>
        <w:jc w:val="both"/>
        <w:rPr>
          <w:i/>
        </w:rPr>
      </w:pPr>
    </w:p>
    <w:p w14:paraId="3F8F98F0" w14:textId="695E210D" w:rsidR="00427C1D" w:rsidRDefault="00427C1D" w:rsidP="007C1C20">
      <w:pPr>
        <w:keepNext/>
        <w:spacing w:line="240" w:lineRule="auto"/>
        <w:jc w:val="both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Wykres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Wykres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F41082">
        <w:rPr>
          <w:b/>
          <w:iCs/>
          <w:noProof/>
          <w:sz w:val="20"/>
          <w:szCs w:val="20"/>
        </w:rPr>
        <w:t>3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</w:t>
      </w:r>
      <w:r w:rsidR="00BC112A">
        <w:rPr>
          <w:b/>
          <w:iCs/>
          <w:sz w:val="20"/>
          <w:szCs w:val="20"/>
        </w:rPr>
        <w:t>Aspekty życia w gminie</w:t>
      </w:r>
      <w:r w:rsidR="00BC112A" w:rsidRPr="00427C1D">
        <w:rPr>
          <w:b/>
          <w:iCs/>
          <w:sz w:val="20"/>
          <w:szCs w:val="20"/>
        </w:rPr>
        <w:t xml:space="preserve"> wymagające najpilniejszego </w:t>
      </w:r>
      <w:r w:rsidRPr="00427C1D">
        <w:rPr>
          <w:b/>
          <w:iCs/>
          <w:sz w:val="20"/>
          <w:szCs w:val="20"/>
        </w:rPr>
        <w:t>wsparcia</w:t>
      </w:r>
    </w:p>
    <w:p w14:paraId="02EB0A3B" w14:textId="42EB9BD2" w:rsidR="000E62A8" w:rsidRPr="00427C1D" w:rsidRDefault="00D85F8E" w:rsidP="007C1C20">
      <w:pPr>
        <w:keepNext/>
        <w:spacing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3C59FB4" wp14:editId="5CA55188">
            <wp:extent cx="5760720" cy="5220970"/>
            <wp:effectExtent l="0" t="0" r="11430" b="1778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F42126" w14:textId="066EB719" w:rsidR="00427C1D" w:rsidRPr="00427C1D" w:rsidRDefault="00427C1D" w:rsidP="007C1C20">
      <w:pPr>
        <w:keepNext/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 w:rsidR="005304BB">
        <w:rPr>
          <w:i/>
        </w:rPr>
        <w:t xml:space="preserve">o: Badanie </w:t>
      </w:r>
      <w:r w:rsidR="005304BB" w:rsidRPr="00EF3A7C">
        <w:rPr>
          <w:i/>
        </w:rPr>
        <w:t xml:space="preserve">ankietowe </w:t>
      </w:r>
      <w:r w:rsidR="008D436C" w:rsidRPr="00EF3A7C">
        <w:rPr>
          <w:i/>
        </w:rPr>
        <w:t>CAWI i PAPI,</w:t>
      </w:r>
      <w:r w:rsidR="008D436C" w:rsidRPr="00427C1D">
        <w:rPr>
          <w:i/>
        </w:rPr>
        <w:t xml:space="preserve"> N=</w:t>
      </w:r>
      <w:r w:rsidR="00D85F8E">
        <w:rPr>
          <w:i/>
        </w:rPr>
        <w:t>90</w:t>
      </w:r>
    </w:p>
    <w:p w14:paraId="07EBAE42" w14:textId="0327A124" w:rsidR="00500814" w:rsidRDefault="00427C1D" w:rsidP="00500814">
      <w:pPr>
        <w:autoSpaceDE w:val="0"/>
        <w:autoSpaceDN w:val="0"/>
        <w:adjustRightInd w:val="0"/>
        <w:spacing w:after="0" w:line="240" w:lineRule="auto"/>
        <w:jc w:val="both"/>
      </w:pPr>
      <w:r w:rsidRPr="00622776">
        <w:t xml:space="preserve">W zakresie </w:t>
      </w:r>
      <w:r w:rsidR="00F43984">
        <w:t>oceny rozwoju gospodarczego gminy (na tle innych gmin)</w:t>
      </w:r>
      <w:r w:rsidRPr="00622776">
        <w:t xml:space="preserve"> </w:t>
      </w:r>
      <w:r w:rsidR="00F43984">
        <w:t xml:space="preserve">ankietowani </w:t>
      </w:r>
      <w:r w:rsidR="00500814">
        <w:t xml:space="preserve">poproszeni zostali o wybranie </w:t>
      </w:r>
      <w:r w:rsidR="00500814" w:rsidRPr="00500814">
        <w:t>oceny na skali od 0 do 5, gdzie 0 oznacza bardzo niski poziom rozwoju (ni</w:t>
      </w:r>
      <w:r w:rsidR="00500814" w:rsidRPr="00500814">
        <w:rPr>
          <w:rFonts w:hint="eastAsia"/>
        </w:rPr>
        <w:t>ż</w:t>
      </w:r>
      <w:r w:rsidR="00500814" w:rsidRPr="00500814">
        <w:t>szy ni</w:t>
      </w:r>
      <w:r w:rsidR="00500814" w:rsidRPr="00500814">
        <w:rPr>
          <w:rFonts w:hint="eastAsia"/>
        </w:rPr>
        <w:t>ż</w:t>
      </w:r>
      <w:r w:rsidR="00500814">
        <w:t xml:space="preserve"> </w:t>
      </w:r>
      <w:r w:rsidR="00500814" w:rsidRPr="00500814">
        <w:t>wi</w:t>
      </w:r>
      <w:r w:rsidR="00500814" w:rsidRPr="00500814">
        <w:rPr>
          <w:rFonts w:hint="eastAsia"/>
        </w:rPr>
        <w:t>ę</w:t>
      </w:r>
      <w:r w:rsidR="00500814" w:rsidRPr="00500814">
        <w:t>kszo</w:t>
      </w:r>
      <w:r w:rsidR="00500814" w:rsidRPr="00500814">
        <w:rPr>
          <w:rFonts w:hint="eastAsia"/>
        </w:rPr>
        <w:t>ś</w:t>
      </w:r>
      <w:r w:rsidR="00500814" w:rsidRPr="00500814">
        <w:t>ci gmin w kraju) za</w:t>
      </w:r>
      <w:r w:rsidR="00500814" w:rsidRPr="00500814">
        <w:rPr>
          <w:rFonts w:hint="eastAsia"/>
        </w:rPr>
        <w:t>ś</w:t>
      </w:r>
      <w:r w:rsidR="00500814" w:rsidRPr="00500814">
        <w:t xml:space="preserve"> 5 bardzo wysoki poziom rozwoju (wy</w:t>
      </w:r>
      <w:r w:rsidR="00500814" w:rsidRPr="00500814">
        <w:rPr>
          <w:rFonts w:hint="eastAsia"/>
        </w:rPr>
        <w:t>ż</w:t>
      </w:r>
      <w:r w:rsidR="00500814" w:rsidRPr="00500814">
        <w:t>szy ni</w:t>
      </w:r>
      <w:r w:rsidR="00500814" w:rsidRPr="00500814">
        <w:rPr>
          <w:rFonts w:hint="eastAsia"/>
        </w:rPr>
        <w:t>ż</w:t>
      </w:r>
      <w:r w:rsidR="00500814" w:rsidRPr="00500814">
        <w:t xml:space="preserve"> wi</w:t>
      </w:r>
      <w:r w:rsidR="00500814" w:rsidRPr="00500814">
        <w:rPr>
          <w:rFonts w:hint="eastAsia"/>
        </w:rPr>
        <w:t>ę</w:t>
      </w:r>
      <w:r w:rsidR="00500814" w:rsidRPr="00500814">
        <w:t>kszo</w:t>
      </w:r>
      <w:r w:rsidR="00500814" w:rsidRPr="00500814">
        <w:rPr>
          <w:rFonts w:hint="eastAsia"/>
        </w:rPr>
        <w:t>ś</w:t>
      </w:r>
      <w:r w:rsidR="00500814" w:rsidRPr="00500814">
        <w:t>ci gmin w kraju</w:t>
      </w:r>
      <w:r w:rsidR="00500814">
        <w:t>).</w:t>
      </w:r>
      <w:r w:rsidR="00F43984">
        <w:t xml:space="preserve"> </w:t>
      </w:r>
    </w:p>
    <w:p w14:paraId="7D5BFAFB" w14:textId="51B00ABA" w:rsidR="006C11AC" w:rsidRPr="00427C1D" w:rsidRDefault="00F43984" w:rsidP="00427C1D">
      <w:pPr>
        <w:spacing w:after="160" w:line="259" w:lineRule="auto"/>
        <w:jc w:val="both"/>
      </w:pPr>
      <w:r w:rsidRPr="00427C1D">
        <w:t>Z</w:t>
      </w:r>
      <w:r>
        <w:t> </w:t>
      </w:r>
      <w:r w:rsidRPr="00427C1D">
        <w:t xml:space="preserve">odpowiedzi wyłania się </w:t>
      </w:r>
      <w:r w:rsidR="00A43ECD">
        <w:t xml:space="preserve">raczej pozytywny </w:t>
      </w:r>
      <w:r w:rsidRPr="00427C1D">
        <w:t>obraz – najliczniejsz</w:t>
      </w:r>
      <w:r>
        <w:t>e były</w:t>
      </w:r>
      <w:r w:rsidRPr="00427C1D">
        <w:t xml:space="preserve"> </w:t>
      </w:r>
      <w:r>
        <w:t xml:space="preserve">odpowiedzi </w:t>
      </w:r>
      <w:r w:rsidR="00A43ECD">
        <w:t>od 3 do 5 pkt.</w:t>
      </w:r>
      <w:r w:rsidRPr="00427C1D">
        <w:t xml:space="preserve"> (</w:t>
      </w:r>
      <w:r>
        <w:t>6</w:t>
      </w:r>
      <w:r w:rsidR="00A43ECD">
        <w:t>2</w:t>
      </w:r>
      <w:r>
        <w:t>,</w:t>
      </w:r>
      <w:r w:rsidR="00A43ECD">
        <w:t>22</w:t>
      </w:r>
      <w:r w:rsidRPr="00427C1D">
        <w:t>%),</w:t>
      </w:r>
      <w:r>
        <w:t xml:space="preserve"> </w:t>
      </w:r>
      <w:r w:rsidR="00A43ECD">
        <w:t>przy czym</w:t>
      </w:r>
      <w:r>
        <w:t xml:space="preserve"> </w:t>
      </w:r>
      <w:r w:rsidR="00A43ECD">
        <w:t xml:space="preserve">udział </w:t>
      </w:r>
      <w:r>
        <w:t xml:space="preserve">odpowiedzi </w:t>
      </w:r>
      <w:r w:rsidR="00A43ECD">
        <w:t>4 pkt.</w:t>
      </w:r>
      <w:r>
        <w:t xml:space="preserve"> </w:t>
      </w:r>
      <w:r w:rsidR="00A43ECD">
        <w:t>i 5 pkt.</w:t>
      </w:r>
      <w:r>
        <w:t xml:space="preserve"> </w:t>
      </w:r>
      <w:r w:rsidR="00A43ECD">
        <w:t xml:space="preserve">nie przekroczył 1/5 </w:t>
      </w:r>
      <w:r>
        <w:t xml:space="preserve"> (</w:t>
      </w:r>
      <w:r w:rsidR="00A43ECD">
        <w:t>18</w:t>
      </w:r>
      <w:r>
        <w:t>,</w:t>
      </w:r>
      <w:r w:rsidR="00A43ECD">
        <w:t>89</w:t>
      </w:r>
      <w:r>
        <w:t xml:space="preserve">%). Odpowiedzi </w:t>
      </w:r>
      <w:r w:rsidR="00A43ECD">
        <w:t xml:space="preserve">z niską </w:t>
      </w:r>
      <w:r w:rsidR="009E430B">
        <w:t>punktacją,</w:t>
      </w:r>
      <w:r>
        <w:t xml:space="preserve"> </w:t>
      </w:r>
      <w:r w:rsidR="00A43ECD">
        <w:t>czyli od 0 pkt. do 2 pkt.</w:t>
      </w:r>
      <w:r>
        <w:t xml:space="preserve"> udzieliło </w:t>
      </w:r>
      <w:r w:rsidR="00CE7D60">
        <w:t>aż</w:t>
      </w:r>
      <w:r>
        <w:t xml:space="preserve"> 3</w:t>
      </w:r>
      <w:r w:rsidR="00A43ECD">
        <w:t>7</w:t>
      </w:r>
      <w:r>
        <w:t>,</w:t>
      </w:r>
      <w:r w:rsidR="00A43ECD">
        <w:t>78</w:t>
      </w:r>
      <w:r>
        <w:t>% respondentó</w:t>
      </w:r>
      <w:r w:rsidR="00CE7D60">
        <w:t>w, przy czym udział odpowiedzi skrajnych tj. 0 pkt. i 1 pkt. przekroczył 1/10 (12,22%). Taka ocena wskazuje, że jeszcze dużo jest do zrobienia dla władz gminy w aspekcie rozwoju gminy.</w:t>
      </w:r>
    </w:p>
    <w:p w14:paraId="14E65D98" w14:textId="77777777" w:rsidR="009E430B" w:rsidRDefault="009E430B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14:paraId="4CB86C9D" w14:textId="69985AF5" w:rsidR="00427C1D" w:rsidRDefault="00427C1D" w:rsidP="00427C1D">
      <w:pPr>
        <w:spacing w:after="120" w:line="240" w:lineRule="auto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Tabela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Tabela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F41082">
        <w:rPr>
          <w:b/>
          <w:iCs/>
          <w:noProof/>
          <w:sz w:val="20"/>
          <w:szCs w:val="20"/>
        </w:rPr>
        <w:t>9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 xml:space="preserve">. </w:t>
      </w:r>
      <w:r w:rsidR="00061A31" w:rsidRPr="00427C1D">
        <w:rPr>
          <w:b/>
          <w:iCs/>
          <w:sz w:val="20"/>
          <w:szCs w:val="20"/>
        </w:rPr>
        <w:t>O</w:t>
      </w:r>
      <w:r w:rsidR="00061A31" w:rsidRPr="00500814">
        <w:rPr>
          <w:b/>
          <w:iCs/>
          <w:sz w:val="20"/>
          <w:szCs w:val="20"/>
        </w:rPr>
        <w:t>cen</w:t>
      </w:r>
      <w:r w:rsidR="00061A31">
        <w:rPr>
          <w:b/>
          <w:iCs/>
          <w:sz w:val="20"/>
          <w:szCs w:val="20"/>
        </w:rPr>
        <w:t>a</w:t>
      </w:r>
      <w:r w:rsidR="00061A31" w:rsidRPr="00500814">
        <w:rPr>
          <w:b/>
          <w:iCs/>
          <w:sz w:val="20"/>
          <w:szCs w:val="20"/>
        </w:rPr>
        <w:t xml:space="preserve"> rozwoju gospodarczego gminy (na tle innych gmin</w:t>
      </w:r>
      <w:r w:rsidR="00061A31">
        <w:rPr>
          <w:b/>
          <w:iCs/>
          <w:sz w:val="20"/>
          <w:szCs w:val="20"/>
        </w:rPr>
        <w:t xml:space="preserve"> w Polsce)</w:t>
      </w:r>
      <w:r w:rsidR="00061A31">
        <w:rPr>
          <w:rStyle w:val="Odwoanieprzypisudolnego"/>
          <w:b/>
          <w:iCs/>
          <w:sz w:val="20"/>
          <w:szCs w:val="20"/>
        </w:rPr>
        <w:t xml:space="preserve"> </w:t>
      </w:r>
    </w:p>
    <w:p w14:paraId="30AD042E" w14:textId="77777777" w:rsidR="00061A31" w:rsidRPr="00427C1D" w:rsidRDefault="00061A31" w:rsidP="00427C1D">
      <w:pPr>
        <w:spacing w:after="120" w:line="240" w:lineRule="auto"/>
        <w:rPr>
          <w:b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1623"/>
        <w:gridCol w:w="1623"/>
      </w:tblGrid>
      <w:tr w:rsidR="0059045C" w:rsidRPr="0059045C" w14:paraId="0DDAD099" w14:textId="77777777" w:rsidTr="007E13CE">
        <w:trPr>
          <w:trHeight w:val="600"/>
        </w:trPr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E3B2" w14:textId="77777777" w:rsidR="0059045C" w:rsidRPr="0059045C" w:rsidRDefault="0059045C" w:rsidP="0059045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B01482" w14:textId="77777777" w:rsidR="0059045C" w:rsidRPr="0059045C" w:rsidRDefault="0059045C" w:rsidP="005904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045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0F87D5" w14:textId="77777777" w:rsidR="0059045C" w:rsidRPr="0059045C" w:rsidRDefault="0059045C" w:rsidP="005904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045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500814" w:rsidRPr="0059045C" w14:paraId="7DE30942" w14:textId="77777777" w:rsidTr="00500814">
        <w:trPr>
          <w:trHeight w:val="208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55F" w14:textId="4FAE6EEA" w:rsidR="00500814" w:rsidRPr="00500814" w:rsidRDefault="00500814" w:rsidP="0050081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0 (bardzo niski poziom rozwoju)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B83724B" w14:textId="7FACEB52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CC49DB5" w14:textId="777601D6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2,22%</w:t>
            </w:r>
          </w:p>
        </w:tc>
      </w:tr>
      <w:tr w:rsidR="00500814" w:rsidRPr="0059045C" w14:paraId="57E5DE86" w14:textId="77777777" w:rsidTr="00500814">
        <w:trPr>
          <w:trHeight w:val="256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762" w14:textId="0259200F" w:rsidR="00500814" w:rsidRPr="00500814" w:rsidRDefault="00500814" w:rsidP="0050081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DE9E91" w14:textId="2D85EFDE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75CA7D" w14:textId="552C43A4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10,00%</w:t>
            </w:r>
          </w:p>
        </w:tc>
      </w:tr>
      <w:tr w:rsidR="00500814" w:rsidRPr="0059045C" w14:paraId="66384A2D" w14:textId="77777777" w:rsidTr="00500814">
        <w:trPr>
          <w:trHeight w:val="13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8E9A" w14:textId="31095A28" w:rsidR="00500814" w:rsidRPr="00500814" w:rsidRDefault="00500814" w:rsidP="0050081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E96E35" w14:textId="4AD8AFAA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35ACF0" w14:textId="13094CCB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25,56%</w:t>
            </w:r>
          </w:p>
        </w:tc>
      </w:tr>
      <w:tr w:rsidR="00500814" w:rsidRPr="0059045C" w14:paraId="0BC90A65" w14:textId="77777777" w:rsidTr="00500814">
        <w:trPr>
          <w:trHeight w:val="207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9C22" w14:textId="3AE8DEA8" w:rsidR="00500814" w:rsidRPr="00500814" w:rsidRDefault="00500814" w:rsidP="0050081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AC7A86" w14:textId="691AD5A6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E54D09" w14:textId="637A6E9C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43,33%</w:t>
            </w:r>
          </w:p>
        </w:tc>
      </w:tr>
      <w:tr w:rsidR="00500814" w:rsidRPr="0059045C" w14:paraId="3B160183" w14:textId="77777777" w:rsidTr="00500814">
        <w:trPr>
          <w:trHeight w:val="154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7A0A" w14:textId="28D1386A" w:rsidR="00500814" w:rsidRPr="00500814" w:rsidRDefault="00500814" w:rsidP="0050081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976B80F" w14:textId="7EBF9DA9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7FFCE8" w14:textId="6C1B96A4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15,56%</w:t>
            </w:r>
          </w:p>
        </w:tc>
      </w:tr>
      <w:tr w:rsidR="00500814" w:rsidRPr="0059045C" w14:paraId="7B373102" w14:textId="77777777" w:rsidTr="00500814">
        <w:trPr>
          <w:trHeight w:val="87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BF07" w14:textId="1C2ED5A0" w:rsidR="00500814" w:rsidRPr="00500814" w:rsidRDefault="00500814" w:rsidP="0050081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 xml:space="preserve">5 (bardzo wysoki poziom rozwoju)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61517A" w14:textId="09A94A6C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E7F784D" w14:textId="34A27C0F" w:rsidR="00500814" w:rsidRPr="00500814" w:rsidRDefault="00500814" w:rsidP="005008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814">
              <w:rPr>
                <w:rFonts w:asciiTheme="minorHAnsi" w:hAnsiTheme="minorHAnsi" w:cstheme="minorHAnsi"/>
                <w:sz w:val="16"/>
                <w:szCs w:val="16"/>
              </w:rPr>
              <w:t>3,33%</w:t>
            </w:r>
          </w:p>
        </w:tc>
      </w:tr>
    </w:tbl>
    <w:p w14:paraId="4C17FDA2" w14:textId="32F58C7E" w:rsidR="0059045C" w:rsidRPr="00427C1D" w:rsidRDefault="00575BF2" w:rsidP="0059045C">
      <w:pPr>
        <w:keepNext/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ankietowe </w:t>
      </w:r>
      <w:r w:rsidR="0059045C" w:rsidRPr="00EF3A7C">
        <w:rPr>
          <w:i/>
        </w:rPr>
        <w:t>CAWI i PAPI</w:t>
      </w:r>
      <w:r w:rsidR="0059045C" w:rsidRPr="00427C1D">
        <w:rPr>
          <w:i/>
        </w:rPr>
        <w:t>, N=</w:t>
      </w:r>
      <w:r w:rsidR="00500814">
        <w:rPr>
          <w:i/>
        </w:rPr>
        <w:t>90</w:t>
      </w:r>
    </w:p>
    <w:p w14:paraId="0F758967" w14:textId="77777777" w:rsidR="00427C1D" w:rsidRPr="00427C1D" w:rsidRDefault="00427C1D" w:rsidP="00427C1D">
      <w:pPr>
        <w:spacing w:after="120" w:line="240" w:lineRule="auto"/>
        <w:jc w:val="both"/>
        <w:rPr>
          <w:i/>
        </w:rPr>
      </w:pPr>
    </w:p>
    <w:p w14:paraId="2B24F9F4" w14:textId="75014CF2" w:rsidR="00427C1D" w:rsidRPr="00500814" w:rsidRDefault="00427C1D" w:rsidP="00427C1D">
      <w:pPr>
        <w:spacing w:line="240" w:lineRule="auto"/>
        <w:jc w:val="both"/>
        <w:rPr>
          <w:b/>
          <w:iCs/>
          <w:sz w:val="20"/>
          <w:szCs w:val="20"/>
        </w:rPr>
      </w:pPr>
      <w:r w:rsidRPr="00427C1D">
        <w:rPr>
          <w:b/>
          <w:iCs/>
          <w:sz w:val="20"/>
          <w:szCs w:val="20"/>
        </w:rPr>
        <w:t xml:space="preserve">Wykres </w:t>
      </w:r>
      <w:r w:rsidRPr="00427C1D">
        <w:rPr>
          <w:b/>
          <w:iCs/>
          <w:sz w:val="20"/>
          <w:szCs w:val="20"/>
        </w:rPr>
        <w:fldChar w:fldCharType="begin"/>
      </w:r>
      <w:r w:rsidRPr="00427C1D">
        <w:rPr>
          <w:b/>
          <w:iCs/>
          <w:sz w:val="20"/>
          <w:szCs w:val="20"/>
        </w:rPr>
        <w:instrText xml:space="preserve"> SEQ Wykres \* ARABIC </w:instrText>
      </w:r>
      <w:r w:rsidRPr="00427C1D">
        <w:rPr>
          <w:b/>
          <w:iCs/>
          <w:sz w:val="20"/>
          <w:szCs w:val="20"/>
        </w:rPr>
        <w:fldChar w:fldCharType="separate"/>
      </w:r>
      <w:r w:rsidR="00F41082">
        <w:rPr>
          <w:b/>
          <w:iCs/>
          <w:noProof/>
          <w:sz w:val="20"/>
          <w:szCs w:val="20"/>
        </w:rPr>
        <w:t>4</w:t>
      </w:r>
      <w:r w:rsidRPr="00427C1D">
        <w:rPr>
          <w:b/>
          <w:iCs/>
          <w:sz w:val="20"/>
          <w:szCs w:val="20"/>
        </w:rPr>
        <w:fldChar w:fldCharType="end"/>
      </w:r>
      <w:r w:rsidRPr="00427C1D">
        <w:rPr>
          <w:b/>
          <w:iCs/>
          <w:sz w:val="20"/>
          <w:szCs w:val="20"/>
        </w:rPr>
        <w:t>. O</w:t>
      </w:r>
      <w:r w:rsidR="00500814" w:rsidRPr="00500814">
        <w:rPr>
          <w:b/>
          <w:iCs/>
          <w:sz w:val="20"/>
          <w:szCs w:val="20"/>
        </w:rPr>
        <w:t>cen</w:t>
      </w:r>
      <w:r w:rsidR="00500814">
        <w:rPr>
          <w:b/>
          <w:iCs/>
          <w:sz w:val="20"/>
          <w:szCs w:val="20"/>
        </w:rPr>
        <w:t>a</w:t>
      </w:r>
      <w:r w:rsidR="00500814" w:rsidRPr="00500814">
        <w:rPr>
          <w:b/>
          <w:iCs/>
          <w:sz w:val="20"/>
          <w:szCs w:val="20"/>
        </w:rPr>
        <w:t xml:space="preserve"> rozwoju gospodarczego gminy (na tle innych gmin</w:t>
      </w:r>
      <w:r w:rsidR="00500814">
        <w:rPr>
          <w:b/>
          <w:iCs/>
          <w:sz w:val="20"/>
          <w:szCs w:val="20"/>
        </w:rPr>
        <w:t xml:space="preserve"> w Polsce</w:t>
      </w:r>
      <w:r w:rsidR="00500814" w:rsidRPr="00500814">
        <w:rPr>
          <w:b/>
          <w:iCs/>
          <w:sz w:val="20"/>
          <w:szCs w:val="20"/>
        </w:rPr>
        <w:t>)</w:t>
      </w:r>
    </w:p>
    <w:p w14:paraId="4495CEB2" w14:textId="4358B51D" w:rsidR="00427C1D" w:rsidRPr="00427C1D" w:rsidRDefault="00CB5380" w:rsidP="00B271BF">
      <w:pPr>
        <w:spacing w:after="120" w:line="240" w:lineRule="auto"/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 wp14:anchorId="3D28E36A" wp14:editId="732CEBB8">
            <wp:extent cx="5760720" cy="3996055"/>
            <wp:effectExtent l="0" t="0" r="11430" b="4445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7560D0" w14:textId="078990AC" w:rsidR="00575BF2" w:rsidRPr="00427C1D" w:rsidRDefault="00575BF2" w:rsidP="00575BF2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ankietowe </w:t>
      </w:r>
      <w:r w:rsidR="0059045C" w:rsidRPr="003D69C1">
        <w:rPr>
          <w:i/>
        </w:rPr>
        <w:t>CAWI i PAPI</w:t>
      </w:r>
      <w:r w:rsidR="0059045C" w:rsidRPr="00427C1D">
        <w:rPr>
          <w:i/>
        </w:rPr>
        <w:t>, N=</w:t>
      </w:r>
      <w:r w:rsidR="00CB5380">
        <w:rPr>
          <w:i/>
        </w:rPr>
        <w:t>90</w:t>
      </w:r>
    </w:p>
    <w:p w14:paraId="7EDD8B6C" w14:textId="77777777" w:rsidR="006B6A57" w:rsidRDefault="006B6A57" w:rsidP="008557CE">
      <w:pPr>
        <w:pStyle w:val="Legenda"/>
        <w:jc w:val="both"/>
        <w:rPr>
          <w:i w:val="0"/>
          <w:iCs w:val="0"/>
          <w:color w:val="auto"/>
          <w:sz w:val="22"/>
          <w:szCs w:val="22"/>
        </w:rPr>
      </w:pPr>
    </w:p>
    <w:p w14:paraId="116C418D" w14:textId="06EF6C3C" w:rsidR="00122E56" w:rsidRDefault="00122E56" w:rsidP="008557CE">
      <w:pPr>
        <w:pStyle w:val="Legenda"/>
        <w:jc w:val="both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>Kolejne pytanie w ankiecie brzmiało: „</w:t>
      </w:r>
      <w:r w:rsidRPr="00122E56">
        <w:rPr>
          <w:i w:val="0"/>
          <w:iCs w:val="0"/>
          <w:color w:val="auto"/>
          <w:sz w:val="22"/>
          <w:szCs w:val="22"/>
        </w:rPr>
        <w:t>Na ile prawdopodobne jest, że poleciliby Państwo swoją Gminę przyjaciołom lub krewnym jako dobre miejsce do zamieszkania?</w:t>
      </w:r>
      <w:r>
        <w:rPr>
          <w:i w:val="0"/>
          <w:iCs w:val="0"/>
          <w:color w:val="auto"/>
          <w:sz w:val="22"/>
          <w:szCs w:val="22"/>
        </w:rPr>
        <w:t>”</w:t>
      </w:r>
      <w:r w:rsidRPr="00122E56">
        <w:rPr>
          <w:i w:val="0"/>
          <w:iCs w:val="0"/>
          <w:color w:val="auto"/>
          <w:sz w:val="22"/>
          <w:szCs w:val="22"/>
        </w:rPr>
        <w:t xml:space="preserve"> </w:t>
      </w:r>
      <w:r>
        <w:rPr>
          <w:i w:val="0"/>
          <w:iCs w:val="0"/>
          <w:color w:val="auto"/>
          <w:sz w:val="22"/>
          <w:szCs w:val="22"/>
        </w:rPr>
        <w:t>A</w:t>
      </w:r>
      <w:r w:rsidRPr="00122E56">
        <w:rPr>
          <w:i w:val="0"/>
          <w:iCs w:val="0"/>
          <w:color w:val="auto"/>
          <w:sz w:val="22"/>
          <w:szCs w:val="22"/>
        </w:rPr>
        <w:t>nkietowani poproszeni zostali o wybranie oceny na skali od 0 do 10, gdzie 0 oznacza „zupełnie nieprawdopodobne” zaś 10 „pewne”</w:t>
      </w:r>
      <w:r>
        <w:rPr>
          <w:i w:val="0"/>
          <w:iCs w:val="0"/>
          <w:color w:val="auto"/>
          <w:sz w:val="22"/>
          <w:szCs w:val="22"/>
        </w:rPr>
        <w:t>.</w:t>
      </w:r>
    </w:p>
    <w:p w14:paraId="2DED77A8" w14:textId="3A02B1A2" w:rsidR="00837DD0" w:rsidRPr="00837DD0" w:rsidRDefault="00122E56" w:rsidP="00837DD0">
      <w:pPr>
        <w:pStyle w:val="Legenda"/>
        <w:jc w:val="both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>Obraz, który wyłania się</w:t>
      </w:r>
      <w:r w:rsidR="00837DD0">
        <w:rPr>
          <w:i w:val="0"/>
          <w:iCs w:val="0"/>
          <w:color w:val="auto"/>
          <w:sz w:val="22"/>
          <w:szCs w:val="22"/>
        </w:rPr>
        <w:t xml:space="preserve"> z analizy odpowiedzi ankietowanych na to pytanie, jest </w:t>
      </w:r>
      <w:r w:rsidR="00D028AF">
        <w:rPr>
          <w:i w:val="0"/>
          <w:iCs w:val="0"/>
          <w:color w:val="auto"/>
          <w:sz w:val="22"/>
          <w:szCs w:val="22"/>
        </w:rPr>
        <w:t xml:space="preserve">dość średni. </w:t>
      </w:r>
      <w:r w:rsidR="00837DD0">
        <w:rPr>
          <w:i w:val="0"/>
          <w:iCs w:val="0"/>
          <w:color w:val="auto"/>
          <w:sz w:val="22"/>
          <w:szCs w:val="22"/>
        </w:rPr>
        <w:t>N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ajliczniejsze były odpowiedzi od 3 do </w:t>
      </w:r>
      <w:r w:rsidR="00D028AF">
        <w:rPr>
          <w:i w:val="0"/>
          <w:iCs w:val="0"/>
          <w:color w:val="auto"/>
          <w:sz w:val="22"/>
          <w:szCs w:val="22"/>
        </w:rPr>
        <w:t>6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 pkt. (62,22%)</w:t>
      </w:r>
      <w:r w:rsidR="00D028AF">
        <w:rPr>
          <w:i w:val="0"/>
          <w:iCs w:val="0"/>
          <w:color w:val="auto"/>
          <w:sz w:val="22"/>
          <w:szCs w:val="22"/>
        </w:rPr>
        <w:t>. Bardziej optymistycznie wygląda ocena, gdy porównamy o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dpowiedzi z niską punktacją czyli od 0 pkt. do 2 pkt. </w:t>
      </w:r>
      <w:r w:rsidR="00D028AF">
        <w:rPr>
          <w:i w:val="0"/>
          <w:iCs w:val="0"/>
          <w:color w:val="auto"/>
          <w:sz w:val="22"/>
          <w:szCs w:val="22"/>
        </w:rPr>
        <w:t>(8</w:t>
      </w:r>
      <w:r w:rsidR="00837DD0" w:rsidRPr="00837DD0">
        <w:rPr>
          <w:i w:val="0"/>
          <w:iCs w:val="0"/>
          <w:color w:val="auto"/>
          <w:sz w:val="22"/>
          <w:szCs w:val="22"/>
        </w:rPr>
        <w:t>,</w:t>
      </w:r>
      <w:r w:rsidR="00D028AF">
        <w:rPr>
          <w:i w:val="0"/>
          <w:iCs w:val="0"/>
          <w:color w:val="auto"/>
          <w:sz w:val="22"/>
          <w:szCs w:val="22"/>
        </w:rPr>
        <w:t>89</w:t>
      </w:r>
      <w:r w:rsidR="00837DD0" w:rsidRPr="00837DD0">
        <w:rPr>
          <w:i w:val="0"/>
          <w:iCs w:val="0"/>
          <w:color w:val="auto"/>
          <w:sz w:val="22"/>
          <w:szCs w:val="22"/>
        </w:rPr>
        <w:t>%</w:t>
      </w:r>
      <w:r w:rsidR="00D028AF">
        <w:rPr>
          <w:i w:val="0"/>
          <w:iCs w:val="0"/>
          <w:color w:val="auto"/>
          <w:sz w:val="22"/>
          <w:szCs w:val="22"/>
        </w:rPr>
        <w:t>)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, </w:t>
      </w:r>
      <w:r w:rsidR="00D028AF">
        <w:rPr>
          <w:i w:val="0"/>
          <w:iCs w:val="0"/>
          <w:color w:val="auto"/>
          <w:sz w:val="22"/>
          <w:szCs w:val="22"/>
        </w:rPr>
        <w:t>z odpowiedziami z najwyższą punktacją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 tj. </w:t>
      </w:r>
      <w:r w:rsidR="00D028AF">
        <w:rPr>
          <w:i w:val="0"/>
          <w:iCs w:val="0"/>
          <w:color w:val="auto"/>
          <w:sz w:val="22"/>
          <w:szCs w:val="22"/>
        </w:rPr>
        <w:t>od 8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 pkt. </w:t>
      </w:r>
      <w:r w:rsidR="00D028AF">
        <w:rPr>
          <w:i w:val="0"/>
          <w:iCs w:val="0"/>
          <w:color w:val="auto"/>
          <w:sz w:val="22"/>
          <w:szCs w:val="22"/>
        </w:rPr>
        <w:t>do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 1</w:t>
      </w:r>
      <w:r w:rsidR="00D028AF">
        <w:rPr>
          <w:i w:val="0"/>
          <w:iCs w:val="0"/>
          <w:color w:val="auto"/>
          <w:sz w:val="22"/>
          <w:szCs w:val="22"/>
        </w:rPr>
        <w:t>0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 pkt. (</w:t>
      </w:r>
      <w:r w:rsidR="00D028AF">
        <w:rPr>
          <w:i w:val="0"/>
          <w:iCs w:val="0"/>
          <w:color w:val="auto"/>
          <w:sz w:val="22"/>
          <w:szCs w:val="22"/>
        </w:rPr>
        <w:t>22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,22%). Taka ocena wskazuje, że </w:t>
      </w:r>
      <w:r w:rsidR="00D028AF">
        <w:rPr>
          <w:i w:val="0"/>
          <w:iCs w:val="0"/>
          <w:color w:val="auto"/>
          <w:sz w:val="22"/>
          <w:szCs w:val="22"/>
        </w:rPr>
        <w:t>przed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 władz</w:t>
      </w:r>
      <w:r w:rsidR="00D028AF">
        <w:rPr>
          <w:i w:val="0"/>
          <w:iCs w:val="0"/>
          <w:color w:val="auto"/>
          <w:sz w:val="22"/>
          <w:szCs w:val="22"/>
        </w:rPr>
        <w:t>ami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 gminy </w:t>
      </w:r>
      <w:r w:rsidR="00D028AF">
        <w:rPr>
          <w:i w:val="0"/>
          <w:iCs w:val="0"/>
          <w:color w:val="auto"/>
          <w:sz w:val="22"/>
          <w:szCs w:val="22"/>
        </w:rPr>
        <w:t xml:space="preserve">stoją </w:t>
      </w:r>
      <w:r w:rsidR="00DE6D83">
        <w:rPr>
          <w:i w:val="0"/>
          <w:iCs w:val="0"/>
          <w:color w:val="auto"/>
          <w:sz w:val="22"/>
          <w:szCs w:val="22"/>
        </w:rPr>
        <w:t>nadal</w:t>
      </w:r>
      <w:r w:rsidR="00D028AF">
        <w:rPr>
          <w:i w:val="0"/>
          <w:iCs w:val="0"/>
          <w:color w:val="auto"/>
          <w:sz w:val="22"/>
          <w:szCs w:val="22"/>
        </w:rPr>
        <w:t xml:space="preserve"> wyzwania </w:t>
      </w:r>
      <w:r w:rsidR="00837DD0" w:rsidRPr="00837DD0">
        <w:rPr>
          <w:i w:val="0"/>
          <w:iCs w:val="0"/>
          <w:color w:val="auto"/>
          <w:sz w:val="22"/>
          <w:szCs w:val="22"/>
        </w:rPr>
        <w:t xml:space="preserve">w aspekcie </w:t>
      </w:r>
      <w:r w:rsidR="00D028AF">
        <w:rPr>
          <w:i w:val="0"/>
          <w:iCs w:val="0"/>
          <w:color w:val="auto"/>
          <w:sz w:val="22"/>
          <w:szCs w:val="22"/>
        </w:rPr>
        <w:t>poprawy poczucia zadowolenia mieszkańców z życia w gminie</w:t>
      </w:r>
      <w:r w:rsidR="00837DD0" w:rsidRPr="00837DD0">
        <w:rPr>
          <w:i w:val="0"/>
          <w:iCs w:val="0"/>
          <w:color w:val="auto"/>
          <w:sz w:val="22"/>
          <w:szCs w:val="22"/>
        </w:rPr>
        <w:t>.</w:t>
      </w:r>
    </w:p>
    <w:p w14:paraId="34301D05" w14:textId="538CC573" w:rsidR="00122E56" w:rsidRPr="00976A3B" w:rsidRDefault="008A0B85" w:rsidP="00976A3B">
      <w:pPr>
        <w:pStyle w:val="Legenda"/>
        <w:jc w:val="both"/>
        <w:rPr>
          <w:b/>
          <w:i w:val="0"/>
          <w:color w:val="auto"/>
          <w:sz w:val="20"/>
          <w:szCs w:val="20"/>
        </w:rPr>
      </w:pPr>
      <w:r w:rsidRPr="008A0B85">
        <w:rPr>
          <w:b/>
          <w:i w:val="0"/>
          <w:color w:val="auto"/>
          <w:sz w:val="20"/>
          <w:szCs w:val="20"/>
        </w:rPr>
        <w:t xml:space="preserve">Tabela </w:t>
      </w:r>
      <w:r w:rsidRPr="008A0B85">
        <w:rPr>
          <w:b/>
          <w:i w:val="0"/>
          <w:color w:val="auto"/>
          <w:sz w:val="20"/>
          <w:szCs w:val="20"/>
        </w:rPr>
        <w:fldChar w:fldCharType="begin"/>
      </w:r>
      <w:r w:rsidRPr="008A0B85">
        <w:rPr>
          <w:b/>
          <w:i w:val="0"/>
          <w:color w:val="auto"/>
          <w:sz w:val="20"/>
          <w:szCs w:val="20"/>
        </w:rPr>
        <w:instrText xml:space="preserve"> SEQ Tabela \* ARABIC </w:instrText>
      </w:r>
      <w:r w:rsidRPr="008A0B85">
        <w:rPr>
          <w:b/>
          <w:i w:val="0"/>
          <w:color w:val="auto"/>
          <w:sz w:val="20"/>
          <w:szCs w:val="20"/>
        </w:rPr>
        <w:fldChar w:fldCharType="separate"/>
      </w:r>
      <w:r w:rsidR="00F41082">
        <w:rPr>
          <w:b/>
          <w:i w:val="0"/>
          <w:noProof/>
          <w:color w:val="auto"/>
          <w:sz w:val="20"/>
          <w:szCs w:val="20"/>
        </w:rPr>
        <w:t>10</w:t>
      </w:r>
      <w:r w:rsidRPr="008A0B85">
        <w:rPr>
          <w:b/>
          <w:i w:val="0"/>
          <w:color w:val="auto"/>
          <w:sz w:val="20"/>
          <w:szCs w:val="20"/>
        </w:rPr>
        <w:fldChar w:fldCharType="end"/>
      </w:r>
      <w:r w:rsidRPr="008A0B85">
        <w:rPr>
          <w:b/>
          <w:i w:val="0"/>
          <w:color w:val="auto"/>
          <w:sz w:val="20"/>
          <w:szCs w:val="20"/>
        </w:rPr>
        <w:t xml:space="preserve">. </w:t>
      </w:r>
      <w:r w:rsidR="00976A3B" w:rsidRPr="00976A3B">
        <w:rPr>
          <w:b/>
          <w:i w:val="0"/>
          <w:color w:val="auto"/>
          <w:sz w:val="20"/>
          <w:szCs w:val="20"/>
        </w:rPr>
        <w:t xml:space="preserve">Na ile prawdopodobne jest, że poleciliby Państwo swoją Gminę przyjaciołom lub krewnym jako dobre miejsce do zamieszkania?” </w:t>
      </w:r>
      <w:r w:rsidR="00976A3B">
        <w:rPr>
          <w:b/>
          <w:i w:val="0"/>
          <w:color w:val="auto"/>
          <w:sz w:val="20"/>
          <w:szCs w:val="20"/>
        </w:rPr>
        <w:t>(</w:t>
      </w:r>
      <w:r w:rsidR="00976A3B" w:rsidRPr="00976A3B">
        <w:rPr>
          <w:b/>
          <w:i w:val="0"/>
          <w:color w:val="auto"/>
          <w:sz w:val="20"/>
          <w:szCs w:val="20"/>
        </w:rPr>
        <w:t>Ankietowani poproszeni zostali o wybranie oceny na skali od 0 do 10, gdzie 0 oznacza „zupełnie nieprawdopodobne” zaś 10 „pewne”</w:t>
      </w:r>
      <w:r w:rsidR="00976A3B">
        <w:rPr>
          <w:b/>
          <w:i w:val="0"/>
          <w:color w:val="auto"/>
          <w:sz w:val="20"/>
          <w:szCs w:val="20"/>
        </w:rPr>
        <w:t>)</w:t>
      </w:r>
      <w:r w:rsidR="00976A3B" w:rsidRPr="00976A3B">
        <w:rPr>
          <w:b/>
          <w:i w:val="0"/>
          <w:color w:val="auto"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1623"/>
        <w:gridCol w:w="1623"/>
      </w:tblGrid>
      <w:tr w:rsidR="007E13CE" w:rsidRPr="007E13CE" w14:paraId="2928E0BF" w14:textId="77777777" w:rsidTr="007E13CE">
        <w:trPr>
          <w:trHeight w:val="600"/>
        </w:trPr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9089" w14:textId="77777777" w:rsidR="007E13CE" w:rsidRPr="007E13CE" w:rsidRDefault="007E13CE" w:rsidP="007E1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36AA7F" w14:textId="77777777" w:rsidR="007E13CE" w:rsidRPr="007E13CE" w:rsidRDefault="007E13CE" w:rsidP="007E13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13C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76BA1" w14:textId="77777777" w:rsidR="007E13CE" w:rsidRPr="007E13CE" w:rsidRDefault="007E13CE" w:rsidP="007E13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13C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837DD0" w:rsidRPr="007E13CE" w14:paraId="6ED1D1CE" w14:textId="77777777" w:rsidTr="00837DD0">
        <w:trPr>
          <w:trHeight w:val="254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063" w14:textId="0AB4BDD0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0 (zupełnie nieprawdopodobne)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E412701" w14:textId="55B80E41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821E50" w14:textId="70D4F2F2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1,11%</w:t>
            </w:r>
          </w:p>
        </w:tc>
      </w:tr>
      <w:tr w:rsidR="00837DD0" w:rsidRPr="007E13CE" w14:paraId="5C81B121" w14:textId="77777777" w:rsidTr="00837DD0">
        <w:trPr>
          <w:trHeight w:val="189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B783" w14:textId="2510E77F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0ED0D0" w14:textId="1BDB6894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A6DAC8E" w14:textId="16F823EA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2,22%</w:t>
            </w:r>
          </w:p>
        </w:tc>
      </w:tr>
      <w:tr w:rsidR="00837DD0" w:rsidRPr="007E13CE" w14:paraId="3E7851E1" w14:textId="77777777" w:rsidTr="00837DD0">
        <w:trPr>
          <w:trHeight w:val="204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E67" w14:textId="6BA3658D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822972" w14:textId="04BDAE86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7CAFFE" w14:textId="6551B5C2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5,56%</w:t>
            </w:r>
          </w:p>
        </w:tc>
      </w:tr>
      <w:tr w:rsidR="00837DD0" w:rsidRPr="007E13CE" w14:paraId="14A3B277" w14:textId="77777777" w:rsidTr="00837DD0">
        <w:trPr>
          <w:trHeight w:val="194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FDD4" w14:textId="1E4EC0A6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BB86BB" w14:textId="3FE97B45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C2C902C" w14:textId="375B1343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20,00%</w:t>
            </w:r>
          </w:p>
        </w:tc>
      </w:tr>
      <w:tr w:rsidR="00837DD0" w:rsidRPr="007E13CE" w14:paraId="455EB521" w14:textId="77777777" w:rsidTr="00837DD0">
        <w:trPr>
          <w:trHeight w:val="198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93B1" w14:textId="3BFED55F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1B49D00F" w14:textId="3A4C63CC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79BF925B" w14:textId="1F9D4B20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11,11%</w:t>
            </w:r>
          </w:p>
        </w:tc>
      </w:tr>
      <w:tr w:rsidR="00837DD0" w:rsidRPr="007E13CE" w14:paraId="242E0D25" w14:textId="77777777" w:rsidTr="00837DD0">
        <w:trPr>
          <w:trHeight w:val="20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876E" w14:textId="7057BF12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01F37C01" w14:textId="714A1B6F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74E8DB32" w14:textId="430B61F1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17,78%</w:t>
            </w:r>
          </w:p>
        </w:tc>
      </w:tr>
      <w:tr w:rsidR="00837DD0" w:rsidRPr="007E13CE" w14:paraId="3FFC02C9" w14:textId="77777777" w:rsidTr="00837DD0">
        <w:trPr>
          <w:trHeight w:val="206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184A" w14:textId="26B934B1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459F8C2D" w14:textId="2A27317C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14D16428" w14:textId="3CA22AF4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13,33%</w:t>
            </w:r>
          </w:p>
        </w:tc>
      </w:tr>
      <w:tr w:rsidR="00837DD0" w:rsidRPr="007E13CE" w14:paraId="17BBD777" w14:textId="77777777" w:rsidTr="00837DD0">
        <w:trPr>
          <w:trHeight w:val="210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B1F6" w14:textId="3456A25E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22CEF526" w14:textId="7A9FADD0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789F70EB" w14:textId="5ADBF135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6,67%</w:t>
            </w:r>
          </w:p>
        </w:tc>
      </w:tr>
      <w:tr w:rsidR="00837DD0" w:rsidRPr="007E13CE" w14:paraId="7A14FA50" w14:textId="77777777" w:rsidTr="00837DD0">
        <w:trPr>
          <w:trHeight w:val="20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47D5" w14:textId="1090C90C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D8AB6F4" w14:textId="72FC1BCF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99A328" w14:textId="0DA75CF7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15,56%</w:t>
            </w:r>
          </w:p>
        </w:tc>
      </w:tr>
      <w:tr w:rsidR="00837DD0" w:rsidRPr="007E13CE" w14:paraId="6FCF1775" w14:textId="77777777" w:rsidTr="00976A3B">
        <w:trPr>
          <w:trHeight w:val="132"/>
        </w:trPr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587" w14:textId="48429E31" w:rsidR="00837DD0" w:rsidRPr="00837DD0" w:rsidRDefault="00837DD0" w:rsidP="00837D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44D8644" w14:textId="40C5FCF2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24975A" w14:textId="4EDCD928" w:rsidR="00837DD0" w:rsidRPr="00837DD0" w:rsidRDefault="00837DD0" w:rsidP="00837D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DD0">
              <w:rPr>
                <w:rFonts w:asciiTheme="minorHAnsi" w:hAnsiTheme="minorHAnsi" w:cstheme="minorHAnsi"/>
                <w:sz w:val="16"/>
                <w:szCs w:val="16"/>
              </w:rPr>
              <w:t>3,33%</w:t>
            </w:r>
          </w:p>
        </w:tc>
      </w:tr>
      <w:tr w:rsidR="00976A3B" w:rsidRPr="007E13CE" w14:paraId="206EB50D" w14:textId="77777777" w:rsidTr="00976A3B">
        <w:trPr>
          <w:trHeight w:val="132"/>
        </w:trPr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99BC" w14:textId="0A3E665A" w:rsidR="00976A3B" w:rsidRPr="00837DD0" w:rsidRDefault="00976A3B" w:rsidP="00976A3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76A3B">
              <w:rPr>
                <w:rFonts w:asciiTheme="minorHAnsi" w:hAnsiTheme="minorHAnsi" w:cstheme="minorHAnsi"/>
                <w:sz w:val="16"/>
                <w:szCs w:val="16"/>
              </w:rPr>
              <w:t>10 (pewne)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51DBB49C" w14:textId="16E93F00" w:rsidR="00976A3B" w:rsidRPr="00837DD0" w:rsidRDefault="00976A3B" w:rsidP="00976A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A3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74ACB37D" w14:textId="0D228E3D" w:rsidR="00976A3B" w:rsidRPr="00837DD0" w:rsidRDefault="00976A3B" w:rsidP="00976A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6A3B">
              <w:rPr>
                <w:rFonts w:asciiTheme="minorHAnsi" w:hAnsiTheme="minorHAnsi" w:cstheme="minorHAnsi"/>
                <w:sz w:val="16"/>
                <w:szCs w:val="16"/>
              </w:rPr>
              <w:t>3,33%</w:t>
            </w:r>
          </w:p>
        </w:tc>
      </w:tr>
    </w:tbl>
    <w:p w14:paraId="0E7F3DE0" w14:textId="1341D198" w:rsidR="00575BF2" w:rsidRPr="00427C1D" w:rsidRDefault="00575BF2" w:rsidP="00575BF2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</w:t>
      </w:r>
      <w:r w:rsidRPr="004649F9">
        <w:rPr>
          <w:i/>
        </w:rPr>
        <w:t xml:space="preserve">ankietowe </w:t>
      </w:r>
      <w:r w:rsidR="007E13CE" w:rsidRPr="004649F9">
        <w:rPr>
          <w:i/>
        </w:rPr>
        <w:t>CAWI i PAPI, N</w:t>
      </w:r>
      <w:r w:rsidR="007E13CE" w:rsidRPr="00427C1D">
        <w:rPr>
          <w:i/>
        </w:rPr>
        <w:t>=</w:t>
      </w:r>
      <w:r w:rsidR="00976A3B">
        <w:rPr>
          <w:i/>
        </w:rPr>
        <w:t>90</w:t>
      </w:r>
    </w:p>
    <w:p w14:paraId="10B48A8B" w14:textId="30002E54" w:rsidR="008A0B85" w:rsidRPr="008A0B85" w:rsidRDefault="008A0B85" w:rsidP="00976A3B">
      <w:pPr>
        <w:pStyle w:val="Legenda"/>
        <w:jc w:val="both"/>
        <w:rPr>
          <w:b/>
          <w:i w:val="0"/>
          <w:color w:val="auto"/>
          <w:sz w:val="20"/>
          <w:szCs w:val="20"/>
        </w:rPr>
      </w:pPr>
      <w:r w:rsidRPr="008A0B85">
        <w:rPr>
          <w:b/>
          <w:i w:val="0"/>
          <w:color w:val="auto"/>
          <w:sz w:val="20"/>
          <w:szCs w:val="20"/>
        </w:rPr>
        <w:t xml:space="preserve">Wykres </w:t>
      </w:r>
      <w:r w:rsidRPr="008A0B85">
        <w:rPr>
          <w:b/>
          <w:i w:val="0"/>
          <w:color w:val="auto"/>
          <w:sz w:val="20"/>
          <w:szCs w:val="20"/>
        </w:rPr>
        <w:fldChar w:fldCharType="begin"/>
      </w:r>
      <w:r w:rsidRPr="008A0B85">
        <w:rPr>
          <w:b/>
          <w:i w:val="0"/>
          <w:color w:val="auto"/>
          <w:sz w:val="20"/>
          <w:szCs w:val="20"/>
        </w:rPr>
        <w:instrText xml:space="preserve"> SEQ Wykres \* ARABIC </w:instrText>
      </w:r>
      <w:r w:rsidRPr="008A0B85">
        <w:rPr>
          <w:b/>
          <w:i w:val="0"/>
          <w:color w:val="auto"/>
          <w:sz w:val="20"/>
          <w:szCs w:val="20"/>
        </w:rPr>
        <w:fldChar w:fldCharType="separate"/>
      </w:r>
      <w:r w:rsidR="00F41082">
        <w:rPr>
          <w:b/>
          <w:i w:val="0"/>
          <w:noProof/>
          <w:color w:val="auto"/>
          <w:sz w:val="20"/>
          <w:szCs w:val="20"/>
        </w:rPr>
        <w:t>5</w:t>
      </w:r>
      <w:r w:rsidRPr="008A0B85">
        <w:rPr>
          <w:b/>
          <w:i w:val="0"/>
          <w:color w:val="auto"/>
          <w:sz w:val="20"/>
          <w:szCs w:val="20"/>
        </w:rPr>
        <w:fldChar w:fldCharType="end"/>
      </w:r>
      <w:r w:rsidRPr="008A0B85">
        <w:rPr>
          <w:b/>
          <w:i w:val="0"/>
          <w:color w:val="auto"/>
          <w:sz w:val="20"/>
          <w:szCs w:val="20"/>
        </w:rPr>
        <w:t xml:space="preserve">. </w:t>
      </w:r>
      <w:r w:rsidR="00976A3B" w:rsidRPr="00976A3B">
        <w:rPr>
          <w:b/>
          <w:i w:val="0"/>
          <w:color w:val="auto"/>
          <w:sz w:val="20"/>
          <w:szCs w:val="20"/>
        </w:rPr>
        <w:t>Na ile prawdopodobne jest, że poleciliby Państwo swoją Gminę przyjaciołom lub krewnym jako dobre miejsce do zamieszkania?”</w:t>
      </w:r>
    </w:p>
    <w:p w14:paraId="39C1A8E8" w14:textId="2FD35E61" w:rsidR="008A0B85" w:rsidRDefault="00976A3B" w:rsidP="00427C1D">
      <w:pPr>
        <w:spacing w:after="160" w:line="259" w:lineRule="auto"/>
        <w:jc w:val="both"/>
      </w:pPr>
      <w:r>
        <w:rPr>
          <w:noProof/>
          <w:lang w:eastAsia="pl-PL"/>
        </w:rPr>
        <w:drawing>
          <wp:inline distT="0" distB="0" distL="0" distR="0" wp14:anchorId="5AD88F12" wp14:editId="6CD13C6C">
            <wp:extent cx="5760720" cy="3109595"/>
            <wp:effectExtent l="0" t="0" r="11430" b="14605"/>
            <wp:docPr id="22" name="Wykres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EBC60F" w14:textId="71F67BC0" w:rsidR="00575BF2" w:rsidRPr="00427C1D" w:rsidRDefault="00575BF2" w:rsidP="00575BF2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</w:t>
      </w:r>
      <w:r w:rsidRPr="004649F9">
        <w:rPr>
          <w:i/>
        </w:rPr>
        <w:t xml:space="preserve">ankietowe </w:t>
      </w:r>
      <w:r w:rsidR="007E13CE" w:rsidRPr="004649F9">
        <w:rPr>
          <w:i/>
        </w:rPr>
        <w:t>CAWI i PAPI,</w:t>
      </w:r>
      <w:r w:rsidR="007E13CE" w:rsidRPr="00427C1D">
        <w:rPr>
          <w:i/>
        </w:rPr>
        <w:t xml:space="preserve"> N=</w:t>
      </w:r>
      <w:r w:rsidR="00976A3B">
        <w:rPr>
          <w:i/>
        </w:rPr>
        <w:t>90</w:t>
      </w:r>
    </w:p>
    <w:p w14:paraId="4ED167D4" w14:textId="1786C672" w:rsidR="00DE6D83" w:rsidRDefault="00DE6D83" w:rsidP="00DE6D83">
      <w:pPr>
        <w:pStyle w:val="Legenda"/>
        <w:jc w:val="both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>Z drugiej strony mieszkańcy gminy zmieniliby miejsce zamieszkania przede wszystkim ze w</w:t>
      </w:r>
      <w:r w:rsidRPr="00DE6D83">
        <w:rPr>
          <w:i w:val="0"/>
          <w:iCs w:val="0"/>
          <w:color w:val="auto"/>
          <w:sz w:val="22"/>
          <w:szCs w:val="22"/>
        </w:rPr>
        <w:t>zględ</w:t>
      </w:r>
      <w:r>
        <w:rPr>
          <w:i w:val="0"/>
          <w:iCs w:val="0"/>
          <w:color w:val="auto"/>
          <w:sz w:val="22"/>
          <w:szCs w:val="22"/>
        </w:rPr>
        <w:t>ów</w:t>
      </w:r>
      <w:r w:rsidRPr="00DE6D83">
        <w:rPr>
          <w:i w:val="0"/>
          <w:iCs w:val="0"/>
          <w:color w:val="auto"/>
          <w:sz w:val="22"/>
          <w:szCs w:val="22"/>
        </w:rPr>
        <w:t xml:space="preserve"> zawodow</w:t>
      </w:r>
      <w:r>
        <w:rPr>
          <w:i w:val="0"/>
          <w:iCs w:val="0"/>
          <w:color w:val="auto"/>
          <w:sz w:val="22"/>
          <w:szCs w:val="22"/>
        </w:rPr>
        <w:t>ych</w:t>
      </w:r>
      <w:r w:rsidRPr="00DE6D83">
        <w:rPr>
          <w:i w:val="0"/>
          <w:iCs w:val="0"/>
          <w:color w:val="auto"/>
          <w:sz w:val="22"/>
          <w:szCs w:val="22"/>
        </w:rPr>
        <w:t xml:space="preserve"> – możliwość znalezienia dobrej pracy/założenia działalności gospodarczej</w:t>
      </w:r>
      <w:r>
        <w:rPr>
          <w:i w:val="0"/>
          <w:iCs w:val="0"/>
          <w:color w:val="auto"/>
          <w:sz w:val="22"/>
          <w:szCs w:val="22"/>
        </w:rPr>
        <w:t xml:space="preserve"> (45,56%), a 1/6 ankietowanych nigdy nie wyprowadziłaby się z gminy.</w:t>
      </w:r>
      <w:r w:rsidR="00C74703">
        <w:rPr>
          <w:i w:val="0"/>
          <w:iCs w:val="0"/>
          <w:color w:val="auto"/>
          <w:sz w:val="22"/>
          <w:szCs w:val="22"/>
        </w:rPr>
        <w:t xml:space="preserve"> Wyniki potwierdzają obecną tendencję współczesnego życia, które ściśle powiązane jest z pracą i </w:t>
      </w:r>
      <w:r w:rsidR="00965412">
        <w:rPr>
          <w:i w:val="0"/>
          <w:iCs w:val="0"/>
          <w:color w:val="auto"/>
          <w:sz w:val="22"/>
          <w:szCs w:val="22"/>
        </w:rPr>
        <w:t>zapewnieniu rodzinie stabilnej sytuacji materialnej.</w:t>
      </w:r>
    </w:p>
    <w:p w14:paraId="2C5EC9A6" w14:textId="23A367CA" w:rsidR="00AD6FB7" w:rsidRPr="00DE6D83" w:rsidRDefault="00231EC9" w:rsidP="00DE6D83">
      <w:pPr>
        <w:pStyle w:val="Legenda"/>
        <w:jc w:val="both"/>
        <w:rPr>
          <w:i w:val="0"/>
          <w:iCs w:val="0"/>
          <w:color w:val="auto"/>
          <w:sz w:val="22"/>
          <w:szCs w:val="22"/>
        </w:rPr>
      </w:pPr>
      <w:r w:rsidRPr="00DE6D83">
        <w:rPr>
          <w:i w:val="0"/>
          <w:iCs w:val="0"/>
          <w:color w:val="auto"/>
          <w:sz w:val="22"/>
          <w:szCs w:val="22"/>
        </w:rPr>
        <w:t xml:space="preserve">Pełne dane na temat odpowiedzi znajdują się </w:t>
      </w:r>
      <w:r w:rsidR="00AD6FB7" w:rsidRPr="00DE6D83">
        <w:rPr>
          <w:i w:val="0"/>
          <w:iCs w:val="0"/>
          <w:color w:val="auto"/>
          <w:sz w:val="22"/>
          <w:szCs w:val="22"/>
        </w:rPr>
        <w:t>na poniższym wykresie</w:t>
      </w:r>
      <w:r w:rsidRPr="00DE6D83">
        <w:rPr>
          <w:i w:val="0"/>
          <w:iCs w:val="0"/>
          <w:color w:val="auto"/>
          <w:sz w:val="22"/>
          <w:szCs w:val="22"/>
        </w:rPr>
        <w:t>.</w:t>
      </w:r>
    </w:p>
    <w:p w14:paraId="08341942" w14:textId="77777777" w:rsidR="00684BC0" w:rsidRDefault="00684BC0" w:rsidP="00AD6FB7">
      <w:pPr>
        <w:pStyle w:val="Legenda"/>
        <w:rPr>
          <w:b/>
          <w:i w:val="0"/>
          <w:color w:val="auto"/>
          <w:sz w:val="20"/>
          <w:szCs w:val="20"/>
        </w:rPr>
      </w:pPr>
    </w:p>
    <w:p w14:paraId="041A35A2" w14:textId="08985B1D" w:rsidR="00AD6FB7" w:rsidRPr="00912B2B" w:rsidRDefault="00AD6FB7" w:rsidP="00AD6FB7">
      <w:pPr>
        <w:pStyle w:val="Legenda"/>
        <w:rPr>
          <w:b/>
          <w:i w:val="0"/>
          <w:color w:val="auto"/>
          <w:sz w:val="20"/>
          <w:szCs w:val="20"/>
        </w:rPr>
      </w:pPr>
      <w:r w:rsidRPr="00912B2B">
        <w:rPr>
          <w:b/>
          <w:i w:val="0"/>
          <w:color w:val="auto"/>
          <w:sz w:val="20"/>
          <w:szCs w:val="20"/>
        </w:rPr>
        <w:t xml:space="preserve">Wykres </w:t>
      </w:r>
      <w:r w:rsidRPr="00912B2B">
        <w:rPr>
          <w:b/>
          <w:i w:val="0"/>
          <w:color w:val="auto"/>
          <w:sz w:val="20"/>
          <w:szCs w:val="20"/>
        </w:rPr>
        <w:fldChar w:fldCharType="begin"/>
      </w:r>
      <w:r w:rsidRPr="00912B2B">
        <w:rPr>
          <w:b/>
          <w:i w:val="0"/>
          <w:color w:val="auto"/>
          <w:sz w:val="20"/>
          <w:szCs w:val="20"/>
        </w:rPr>
        <w:instrText xml:space="preserve"> SEQ Wykres \* ARABIC </w:instrText>
      </w:r>
      <w:r w:rsidRPr="00912B2B">
        <w:rPr>
          <w:b/>
          <w:i w:val="0"/>
          <w:color w:val="auto"/>
          <w:sz w:val="20"/>
          <w:szCs w:val="20"/>
        </w:rPr>
        <w:fldChar w:fldCharType="separate"/>
      </w:r>
      <w:r w:rsidR="00F41082">
        <w:rPr>
          <w:b/>
          <w:i w:val="0"/>
          <w:noProof/>
          <w:color w:val="auto"/>
          <w:sz w:val="20"/>
          <w:szCs w:val="20"/>
        </w:rPr>
        <w:t>6</w:t>
      </w:r>
      <w:r w:rsidRPr="00912B2B">
        <w:rPr>
          <w:b/>
          <w:i w:val="0"/>
          <w:color w:val="auto"/>
          <w:sz w:val="20"/>
          <w:szCs w:val="20"/>
        </w:rPr>
        <w:fldChar w:fldCharType="end"/>
      </w:r>
      <w:r w:rsidRPr="00912B2B">
        <w:rPr>
          <w:b/>
          <w:i w:val="0"/>
          <w:color w:val="auto"/>
          <w:sz w:val="20"/>
          <w:szCs w:val="20"/>
        </w:rPr>
        <w:t xml:space="preserve">. </w:t>
      </w:r>
      <w:r w:rsidR="00DE6D83">
        <w:rPr>
          <w:b/>
          <w:i w:val="0"/>
          <w:color w:val="auto"/>
          <w:sz w:val="20"/>
          <w:szCs w:val="20"/>
        </w:rPr>
        <w:t>Powody zmiany miejsca zamieszkania</w:t>
      </w:r>
    </w:p>
    <w:p w14:paraId="1E44EF1C" w14:textId="45D64E4F" w:rsidR="00AD6FB7" w:rsidRDefault="00DE6D83" w:rsidP="00427C1D">
      <w:pPr>
        <w:tabs>
          <w:tab w:val="left" w:pos="1384"/>
        </w:tabs>
        <w:spacing w:after="160" w:line="259" w:lineRule="auto"/>
        <w:jc w:val="both"/>
      </w:pPr>
      <w:r>
        <w:rPr>
          <w:noProof/>
          <w:lang w:eastAsia="pl-PL"/>
        </w:rPr>
        <w:drawing>
          <wp:inline distT="0" distB="0" distL="0" distR="0" wp14:anchorId="49870603" wp14:editId="51A7485D">
            <wp:extent cx="5760720" cy="3022600"/>
            <wp:effectExtent l="0" t="0" r="11430" b="6350"/>
            <wp:docPr id="23" name="Wykres 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0C7BB9" w14:textId="456F85D2" w:rsidR="00AD6FB7" w:rsidRPr="00427C1D" w:rsidRDefault="00AD6FB7" w:rsidP="00AD6FB7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ankietowe </w:t>
      </w:r>
      <w:r w:rsidRPr="004649F9">
        <w:rPr>
          <w:i/>
        </w:rPr>
        <w:t>CAWI i PAPI,</w:t>
      </w:r>
      <w:r w:rsidRPr="00427C1D">
        <w:rPr>
          <w:i/>
        </w:rPr>
        <w:t xml:space="preserve"> N=</w:t>
      </w:r>
      <w:r w:rsidR="00DE6D83">
        <w:rPr>
          <w:i/>
        </w:rPr>
        <w:t>90</w:t>
      </w:r>
    </w:p>
    <w:p w14:paraId="08E6EE2B" w14:textId="253FA62C" w:rsidR="00427C1D" w:rsidRPr="00427C1D" w:rsidRDefault="00427C1D" w:rsidP="00427C1D">
      <w:pPr>
        <w:tabs>
          <w:tab w:val="left" w:pos="1384"/>
        </w:tabs>
        <w:spacing w:after="160" w:line="259" w:lineRule="auto"/>
        <w:jc w:val="both"/>
      </w:pPr>
      <w:r w:rsidRPr="00427C1D">
        <w:t>Odpowiedzi re</w:t>
      </w:r>
      <w:r w:rsidR="006F6A30">
        <w:t xml:space="preserve">spondentów na pytanie o to, </w:t>
      </w:r>
      <w:r w:rsidR="009138BA">
        <w:t>j</w:t>
      </w:r>
      <w:r w:rsidR="009138BA" w:rsidRPr="009138BA">
        <w:t xml:space="preserve">akie powinny być najważniejsze kierunki rozwoju </w:t>
      </w:r>
      <w:r w:rsidR="009138BA">
        <w:t>g</w:t>
      </w:r>
      <w:r w:rsidR="009138BA" w:rsidRPr="009138BA">
        <w:t>miny w przyszłości</w:t>
      </w:r>
      <w:r w:rsidR="009138BA">
        <w:t xml:space="preserve">, </w:t>
      </w:r>
      <w:r w:rsidRPr="00427C1D">
        <w:t xml:space="preserve">koncentrowały się na dostrzeganych przez nich aktualnie problemach do rozwiązania. </w:t>
      </w:r>
      <w:r w:rsidR="00021D7B">
        <w:t xml:space="preserve">Mieszkańcy chcieliby, aby </w:t>
      </w:r>
      <w:r w:rsidR="009138BA">
        <w:t>w przyszłości władze gminy</w:t>
      </w:r>
      <w:r w:rsidR="006F6A30">
        <w:t xml:space="preserve"> </w:t>
      </w:r>
      <w:r w:rsidR="009138BA">
        <w:t>koncentrowały się</w:t>
      </w:r>
      <w:r w:rsidR="006F6A30">
        <w:t xml:space="preserve"> </w:t>
      </w:r>
      <w:r w:rsidR="009138BA">
        <w:t xml:space="preserve">na </w:t>
      </w:r>
      <w:r w:rsidR="006F6A30">
        <w:t>rozwijaniu przedsiębiorczości</w:t>
      </w:r>
      <w:r w:rsidR="009138BA">
        <w:t xml:space="preserve"> (w tym z uwzględnieniem potencjału turystycznego) oraz ogólnej poprawie jakości życia mieszkańców poprzez obniżanie bezrobocia i rozwój komunikacji z ościennymi gminami jak i z ważnymi ośrodkami województwa.</w:t>
      </w:r>
    </w:p>
    <w:p w14:paraId="1D522B70" w14:textId="77777777" w:rsidR="009E430B" w:rsidRDefault="009E430B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1E4B964E" w14:textId="64A15BF8" w:rsidR="00427C1D" w:rsidRPr="00912B2B" w:rsidRDefault="00912B2B" w:rsidP="00912B2B">
      <w:pPr>
        <w:pStyle w:val="Legenda"/>
        <w:rPr>
          <w:b/>
          <w:i w:val="0"/>
          <w:color w:val="auto"/>
          <w:sz w:val="20"/>
          <w:szCs w:val="20"/>
        </w:rPr>
      </w:pPr>
      <w:r w:rsidRPr="00912B2B">
        <w:rPr>
          <w:b/>
          <w:i w:val="0"/>
          <w:color w:val="auto"/>
          <w:sz w:val="20"/>
          <w:szCs w:val="20"/>
        </w:rPr>
        <w:t xml:space="preserve">Wykres </w:t>
      </w:r>
      <w:r w:rsidRPr="00912B2B">
        <w:rPr>
          <w:b/>
          <w:i w:val="0"/>
          <w:color w:val="auto"/>
          <w:sz w:val="20"/>
          <w:szCs w:val="20"/>
        </w:rPr>
        <w:fldChar w:fldCharType="begin"/>
      </w:r>
      <w:r w:rsidRPr="00912B2B">
        <w:rPr>
          <w:b/>
          <w:i w:val="0"/>
          <w:color w:val="auto"/>
          <w:sz w:val="20"/>
          <w:szCs w:val="20"/>
        </w:rPr>
        <w:instrText xml:space="preserve"> SEQ Wykres \* ARABIC </w:instrText>
      </w:r>
      <w:r w:rsidRPr="00912B2B">
        <w:rPr>
          <w:b/>
          <w:i w:val="0"/>
          <w:color w:val="auto"/>
          <w:sz w:val="20"/>
          <w:szCs w:val="20"/>
        </w:rPr>
        <w:fldChar w:fldCharType="separate"/>
      </w:r>
      <w:r w:rsidR="00F41082">
        <w:rPr>
          <w:b/>
          <w:i w:val="0"/>
          <w:noProof/>
          <w:color w:val="auto"/>
          <w:sz w:val="20"/>
          <w:szCs w:val="20"/>
        </w:rPr>
        <w:t>7</w:t>
      </w:r>
      <w:r w:rsidRPr="00912B2B">
        <w:rPr>
          <w:b/>
          <w:i w:val="0"/>
          <w:color w:val="auto"/>
          <w:sz w:val="20"/>
          <w:szCs w:val="20"/>
        </w:rPr>
        <w:fldChar w:fldCharType="end"/>
      </w:r>
      <w:r w:rsidRPr="00912B2B">
        <w:rPr>
          <w:b/>
          <w:i w:val="0"/>
          <w:color w:val="auto"/>
          <w:sz w:val="20"/>
          <w:szCs w:val="20"/>
        </w:rPr>
        <w:t xml:space="preserve">. </w:t>
      </w:r>
      <w:r w:rsidR="00427C1D" w:rsidRPr="00912B2B">
        <w:rPr>
          <w:b/>
          <w:i w:val="0"/>
          <w:color w:val="auto"/>
          <w:sz w:val="20"/>
          <w:szCs w:val="20"/>
        </w:rPr>
        <w:t>Preferencje respondentów</w:t>
      </w:r>
      <w:r w:rsidR="006F6A30" w:rsidRPr="00912B2B">
        <w:rPr>
          <w:b/>
          <w:i w:val="0"/>
          <w:color w:val="auto"/>
          <w:sz w:val="20"/>
          <w:szCs w:val="20"/>
        </w:rPr>
        <w:t xml:space="preserve"> odnośnie </w:t>
      </w:r>
      <w:r w:rsidR="00684BC0">
        <w:rPr>
          <w:b/>
          <w:i w:val="0"/>
          <w:color w:val="auto"/>
          <w:sz w:val="20"/>
          <w:szCs w:val="20"/>
        </w:rPr>
        <w:t>kierunków rozwoju gminy w przyszłości</w:t>
      </w:r>
    </w:p>
    <w:p w14:paraId="682E0F20" w14:textId="7A01E430" w:rsidR="00912B2B" w:rsidRDefault="00684BC0" w:rsidP="006F6A30">
      <w:pPr>
        <w:spacing w:after="120" w:line="240" w:lineRule="auto"/>
        <w:jc w:val="both"/>
        <w:rPr>
          <w:i/>
        </w:rPr>
      </w:pPr>
      <w:r>
        <w:rPr>
          <w:noProof/>
          <w:lang w:eastAsia="pl-PL"/>
        </w:rPr>
        <w:drawing>
          <wp:inline distT="0" distB="0" distL="0" distR="0" wp14:anchorId="359BF66E" wp14:editId="172B0516">
            <wp:extent cx="5760720" cy="2705100"/>
            <wp:effectExtent l="0" t="0" r="11430" b="0"/>
            <wp:docPr id="24" name="Wykres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80E3F2" w14:textId="7D65E717" w:rsidR="00427C1D" w:rsidRPr="00F41082" w:rsidRDefault="006F6A30" w:rsidP="00F41082">
      <w:pPr>
        <w:spacing w:after="120" w:line="240" w:lineRule="auto"/>
        <w:jc w:val="both"/>
        <w:rPr>
          <w:i/>
        </w:rPr>
      </w:pPr>
      <w:r w:rsidRPr="00427C1D">
        <w:rPr>
          <w:i/>
        </w:rPr>
        <w:t>Źródł</w:t>
      </w:r>
      <w:r>
        <w:rPr>
          <w:i/>
        </w:rPr>
        <w:t xml:space="preserve">o: Badanie ankietowe </w:t>
      </w:r>
      <w:r w:rsidR="005004F7" w:rsidRPr="004649F9">
        <w:rPr>
          <w:i/>
        </w:rPr>
        <w:t>CAWI i PAPI, N</w:t>
      </w:r>
      <w:r w:rsidR="005004F7" w:rsidRPr="00427C1D">
        <w:rPr>
          <w:i/>
        </w:rPr>
        <w:t>=</w:t>
      </w:r>
      <w:r w:rsidR="009138BA">
        <w:rPr>
          <w:i/>
        </w:rPr>
        <w:t>90</w:t>
      </w:r>
    </w:p>
    <w:p w14:paraId="37B596C8" w14:textId="77777777" w:rsidR="00427C1D" w:rsidRPr="00427C1D" w:rsidRDefault="00427C1D" w:rsidP="006C11AC">
      <w:pPr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427C1D">
        <w:rPr>
          <w:b/>
          <w:sz w:val="24"/>
          <w:szCs w:val="24"/>
        </w:rPr>
        <w:t>Podsumowanie</w:t>
      </w:r>
    </w:p>
    <w:p w14:paraId="4C66354C" w14:textId="1C6AB087" w:rsidR="00A91BBA" w:rsidRPr="00855170" w:rsidRDefault="00427C1D" w:rsidP="00427C1D">
      <w:pPr>
        <w:spacing w:after="160"/>
        <w:jc w:val="both"/>
      </w:pPr>
      <w:r w:rsidRPr="00855170">
        <w:t>W badaniu ankietowym przeprowadzonym w ramach projektu „</w:t>
      </w:r>
      <w:r w:rsidR="00FF5F24">
        <w:t>Program</w:t>
      </w:r>
      <w:r w:rsidRPr="00855170">
        <w:t xml:space="preserve"> Rozwoju </w:t>
      </w:r>
      <w:r w:rsidR="00AE4A26">
        <w:t>Gminy Dydnia na lata 2021-2030</w:t>
      </w:r>
      <w:r w:rsidRPr="00855170">
        <w:t>” wzięł</w:t>
      </w:r>
      <w:r w:rsidR="0075656E" w:rsidRPr="00855170">
        <w:t xml:space="preserve">o </w:t>
      </w:r>
      <w:r w:rsidRPr="00855170">
        <w:t xml:space="preserve">udział </w:t>
      </w:r>
      <w:r w:rsidR="00AE4A26">
        <w:t>90</w:t>
      </w:r>
      <w:r w:rsidR="00A91BBA" w:rsidRPr="00855170">
        <w:t xml:space="preserve"> os</w:t>
      </w:r>
      <w:r w:rsidR="00AE4A26">
        <w:t>ób</w:t>
      </w:r>
      <w:r w:rsidRPr="00855170">
        <w:t xml:space="preserve">, </w:t>
      </w:r>
      <w:r w:rsidR="009C6602" w:rsidRPr="00855170">
        <w:t>wśród których</w:t>
      </w:r>
      <w:r w:rsidRPr="00855170">
        <w:t xml:space="preserve"> przeważali respondenci z </w:t>
      </w:r>
      <w:r w:rsidR="00000C1E">
        <w:t xml:space="preserve">miejscowości </w:t>
      </w:r>
      <w:r w:rsidR="00AE4A26">
        <w:t>Dydnia</w:t>
      </w:r>
      <w:r w:rsidRPr="00855170">
        <w:t>.</w:t>
      </w:r>
    </w:p>
    <w:p w14:paraId="0E57D857" w14:textId="036F976A" w:rsidR="009846AF" w:rsidRPr="00AE4A26" w:rsidRDefault="009846AF" w:rsidP="00AE4A26">
      <w:pPr>
        <w:spacing w:after="160" w:line="259" w:lineRule="auto"/>
        <w:jc w:val="both"/>
      </w:pPr>
      <w:r w:rsidRPr="00855170">
        <w:t xml:space="preserve">Generalnie można uznać, że respondenci są </w:t>
      </w:r>
      <w:r w:rsidR="00AE4A26">
        <w:t xml:space="preserve">raczej </w:t>
      </w:r>
      <w:r w:rsidRPr="00855170">
        <w:t xml:space="preserve">zadowoleni z mieszkania w </w:t>
      </w:r>
      <w:r w:rsidR="00AE4A26">
        <w:t>gminie</w:t>
      </w:r>
      <w:r w:rsidRPr="00855170">
        <w:t xml:space="preserve"> – wśród odpowiedzi na pytania o ocenę warunków życia dominowały te pozytywne. Jeśli chodzi o poszczególne aspekty </w:t>
      </w:r>
      <w:r w:rsidR="00AE4A26">
        <w:t>życia w gminie</w:t>
      </w:r>
      <w:r w:rsidRPr="00855170">
        <w:t xml:space="preserve"> najlepiej ocenione zostały</w:t>
      </w:r>
      <w:r w:rsidR="00AE4A26">
        <w:t xml:space="preserve"> takie obszary jak: opieka nad dziećmi – żłobki i przedszkola, bezpieczeństwo mieszkańców, stan i dostępność infrastruktury sportowej</w:t>
      </w:r>
      <w:r w:rsidR="00AE4A26" w:rsidRPr="00251D16">
        <w:t xml:space="preserve"> oraz </w:t>
      </w:r>
      <w:r w:rsidR="00AE4A26">
        <w:t>jakość oświaty na poziomie podstawowym</w:t>
      </w:r>
      <w:r w:rsidR="00AE4A26" w:rsidRPr="00251D16">
        <w:t>.</w:t>
      </w:r>
      <w:r w:rsidR="00AE4A26">
        <w:t xml:space="preserve"> </w:t>
      </w:r>
      <w:r w:rsidR="00AE4A26" w:rsidRPr="00251D16">
        <w:t>Za obszary problematyczne uznać</w:t>
      </w:r>
      <w:r w:rsidR="00AE4A26" w:rsidRPr="00E33BB9">
        <w:t xml:space="preserve"> </w:t>
      </w:r>
      <w:r w:rsidR="00AE4A26">
        <w:t>można</w:t>
      </w:r>
      <w:r w:rsidR="00AE4A26" w:rsidRPr="00E33BB9">
        <w:t xml:space="preserve"> natomiast </w:t>
      </w:r>
      <w:r w:rsidR="00AE4A26">
        <w:t>możliwości znalezienia pracy w gminie, standard i dostępność mieszkań, stan chodników oraz stan dróg</w:t>
      </w:r>
      <w:r w:rsidRPr="00855170">
        <w:t>.</w:t>
      </w:r>
    </w:p>
    <w:p w14:paraId="60FB5BDF" w14:textId="45F46F29" w:rsidR="001F254D" w:rsidRDefault="009846AF" w:rsidP="001F254D">
      <w:pPr>
        <w:spacing w:after="160"/>
        <w:jc w:val="both"/>
      </w:pPr>
      <w:r w:rsidRPr="00855170">
        <w:t xml:space="preserve">Za obszary wymagające najpilniejszego wsparcia uznane zostały: </w:t>
      </w:r>
      <w:r w:rsidR="00AE4A26">
        <w:t>możliwości znalezienia pracy w gminie, stan dróg oraz stan chodników</w:t>
      </w:r>
      <w:r w:rsidR="00AE4A26" w:rsidRPr="0099132B">
        <w:t xml:space="preserve">. </w:t>
      </w:r>
      <w:r w:rsidR="00AE4A26">
        <w:t>Powyższe wskazania p</w:t>
      </w:r>
      <w:r w:rsidR="00AE4A26" w:rsidRPr="009C6602">
        <w:t>okrywa</w:t>
      </w:r>
      <w:r w:rsidR="00AE4A26">
        <w:t>ją</w:t>
      </w:r>
      <w:r w:rsidR="00AE4A26" w:rsidRPr="009C6602">
        <w:t xml:space="preserve"> się z oceną poszczegól</w:t>
      </w:r>
      <w:r w:rsidR="00AE4A26">
        <w:t>nych aspektów życia w gminie.</w:t>
      </w:r>
      <w:r w:rsidR="00AE4A26" w:rsidRPr="009C6602">
        <w:t xml:space="preserve"> </w:t>
      </w:r>
      <w:r w:rsidR="00AE4A26">
        <w:t>Ponadto w odpowiedzi „Inne” najczęściej wskazywano komunikację publiczną jako obszar wymagający wsparcia</w:t>
      </w:r>
      <w:r w:rsidRPr="00855170">
        <w:t xml:space="preserve">. </w:t>
      </w:r>
    </w:p>
    <w:p w14:paraId="14669468" w14:textId="61E7212B" w:rsidR="001F254D" w:rsidRDefault="001F254D" w:rsidP="001F254D">
      <w:pPr>
        <w:spacing w:after="160" w:line="259" w:lineRule="auto"/>
        <w:jc w:val="both"/>
      </w:pPr>
      <w:r w:rsidRPr="00622776">
        <w:t xml:space="preserve">W zakresie </w:t>
      </w:r>
      <w:r>
        <w:t xml:space="preserve">oceny rozwoju gospodarczego gminy (na tle innych gmin w kraju) </w:t>
      </w:r>
      <w:r w:rsidRPr="00427C1D">
        <w:t xml:space="preserve">wyłania się </w:t>
      </w:r>
      <w:r>
        <w:t xml:space="preserve">raczej pozytywny </w:t>
      </w:r>
      <w:r w:rsidRPr="00427C1D">
        <w:t xml:space="preserve">obraz – </w:t>
      </w:r>
      <w:r>
        <w:t xml:space="preserve">w skali od 0 (minimum) do 5 pkt. (maksimum) </w:t>
      </w:r>
      <w:r w:rsidRPr="00427C1D">
        <w:t>najliczniejsz</w:t>
      </w:r>
      <w:r>
        <w:t>e były</w:t>
      </w:r>
      <w:r w:rsidRPr="00427C1D">
        <w:t xml:space="preserve"> </w:t>
      </w:r>
      <w:r>
        <w:t>odpowiedzi od 3 do 5 pkt.</w:t>
      </w:r>
      <w:r w:rsidRPr="00427C1D">
        <w:t xml:space="preserve"> (</w:t>
      </w:r>
      <w:r>
        <w:t>62,22</w:t>
      </w:r>
      <w:r w:rsidRPr="00427C1D">
        <w:t>%),</w:t>
      </w:r>
      <w:r>
        <w:t xml:space="preserve"> przy czym udział odpowiedzi 4 pkt. i 5 pkt. nie przekroczył 1/5  (18,89%). Odpowiedzi z niską punktacją czyli od 0 pkt. do 2 pkt. udzieliło aż 37,78% respondentów, przy czym udział odpowiedzi skrajnych tj. 0 pkt. i 1 pkt. przekroczył 1/10 (12,22%).</w:t>
      </w:r>
    </w:p>
    <w:p w14:paraId="72E6C0AF" w14:textId="7FD141BC" w:rsidR="001F254D" w:rsidRPr="001F254D" w:rsidRDefault="001F254D" w:rsidP="001F254D">
      <w:pPr>
        <w:spacing w:after="160" w:line="259" w:lineRule="auto"/>
        <w:jc w:val="both"/>
      </w:pPr>
      <w:r w:rsidRPr="001F254D">
        <w:t xml:space="preserve">Z drugiej strony ankietowani niezbyt chętnie poleciliby swoją </w:t>
      </w:r>
      <w:r w:rsidR="00F41082">
        <w:t>g</w:t>
      </w:r>
      <w:r w:rsidRPr="001F254D">
        <w:t>minę przyjaciołom lub krewnym jako dobre miejsce do zamieszkania. Na pytanie: „Na ile prawdopodobne jest, że poleciliby Państwo swoją Gminę przyjaciołom lub krewnym jako dobre miejsce do zamieszkania?” Ankietowani poproszeni zostali o wybranie oceny na skali od 0 do 10, gdzie 0 oznacza „zupełnie nieprawdopodobne” zaś 10 „pewne”. Najliczniejsze były odpowiedzi od 3 do 6 pkt. (62,22%). Taka ocena wskazuje, że przed władzami gminy stoją nadal wyzwania w aspekcie poprawy poczucia zadowolenia mieszkańców z życia w gminie.</w:t>
      </w:r>
    </w:p>
    <w:p w14:paraId="750C3310" w14:textId="08FFAA20" w:rsidR="001F254D" w:rsidRPr="000C70A3" w:rsidRDefault="001F254D" w:rsidP="000C70A3">
      <w:pPr>
        <w:pStyle w:val="Legenda"/>
        <w:jc w:val="both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>Natomiast mieszkańcy gminy zmieniliby miejsce zamieszkania przede wszystkim ze w</w:t>
      </w:r>
      <w:r w:rsidRPr="00DE6D83">
        <w:rPr>
          <w:i w:val="0"/>
          <w:iCs w:val="0"/>
          <w:color w:val="auto"/>
          <w:sz w:val="22"/>
          <w:szCs w:val="22"/>
        </w:rPr>
        <w:t>zględ</w:t>
      </w:r>
      <w:r>
        <w:rPr>
          <w:i w:val="0"/>
          <w:iCs w:val="0"/>
          <w:color w:val="auto"/>
          <w:sz w:val="22"/>
          <w:szCs w:val="22"/>
        </w:rPr>
        <w:t>ów</w:t>
      </w:r>
      <w:r w:rsidRPr="00DE6D83">
        <w:rPr>
          <w:i w:val="0"/>
          <w:iCs w:val="0"/>
          <w:color w:val="auto"/>
          <w:sz w:val="22"/>
          <w:szCs w:val="22"/>
        </w:rPr>
        <w:t xml:space="preserve"> zawodow</w:t>
      </w:r>
      <w:r>
        <w:rPr>
          <w:i w:val="0"/>
          <w:iCs w:val="0"/>
          <w:color w:val="auto"/>
          <w:sz w:val="22"/>
          <w:szCs w:val="22"/>
        </w:rPr>
        <w:t>ych</w:t>
      </w:r>
      <w:r w:rsidRPr="00DE6D83">
        <w:rPr>
          <w:i w:val="0"/>
          <w:iCs w:val="0"/>
          <w:color w:val="auto"/>
          <w:sz w:val="22"/>
          <w:szCs w:val="22"/>
        </w:rPr>
        <w:t xml:space="preserve"> – możliwość znalezienia dobrej pracy/założenia działalności gospodarczej</w:t>
      </w:r>
      <w:r>
        <w:rPr>
          <w:i w:val="0"/>
          <w:iCs w:val="0"/>
          <w:color w:val="auto"/>
          <w:sz w:val="22"/>
          <w:szCs w:val="22"/>
        </w:rPr>
        <w:t xml:space="preserve"> (45,56%), a 1/6 ankietowanych nigdy nie wyprowadziłaby się z gminy. Wyniki potwierdzają obecną tendencję współczesnego życia, które ściśle powiązane jest z pracą i polega na zapewnieniu rodzinie stabilnej sytuacji materialnej.</w:t>
      </w:r>
    </w:p>
    <w:p w14:paraId="56C9E8AD" w14:textId="7CB86A8F" w:rsidR="000C70A3" w:rsidRPr="00427C1D" w:rsidRDefault="009846AF" w:rsidP="000C70A3">
      <w:pPr>
        <w:tabs>
          <w:tab w:val="left" w:pos="1384"/>
        </w:tabs>
        <w:spacing w:after="160" w:line="259" w:lineRule="auto"/>
        <w:jc w:val="both"/>
      </w:pPr>
      <w:r w:rsidRPr="00855170">
        <w:t>Odpowiedzi respondentów na pytanie o to,</w:t>
      </w:r>
      <w:r>
        <w:t xml:space="preserve"> </w:t>
      </w:r>
      <w:r w:rsidR="000C70A3">
        <w:t>j</w:t>
      </w:r>
      <w:r w:rsidR="000C70A3" w:rsidRPr="009138BA">
        <w:t xml:space="preserve">akie powinny być najważniejsze kierunki rozwoju </w:t>
      </w:r>
      <w:r w:rsidR="000C70A3">
        <w:t>G</w:t>
      </w:r>
      <w:r w:rsidR="000C70A3" w:rsidRPr="009138BA">
        <w:t xml:space="preserve">miny </w:t>
      </w:r>
      <w:r w:rsidR="000C70A3">
        <w:t xml:space="preserve">Dydnia </w:t>
      </w:r>
      <w:r w:rsidR="000C70A3" w:rsidRPr="009138BA">
        <w:t>w przyszłości</w:t>
      </w:r>
      <w:r w:rsidR="000C70A3">
        <w:t>,</w:t>
      </w:r>
      <w:r w:rsidRPr="00855170">
        <w:t xml:space="preserve"> koncentrowały się na dostrzeganych przez nich aktualnie problemach do rozwiązania</w:t>
      </w:r>
      <w:r w:rsidR="000C70A3" w:rsidRPr="00427C1D">
        <w:t xml:space="preserve">. </w:t>
      </w:r>
      <w:r w:rsidR="000C70A3">
        <w:t>Mieszkańcy chcieliby, aby w przyszłości władze gminy koncentrowały się na rozwijaniu przedsiębiorczości (w tym z uwzględnieniem potencjału turystycznego) oraz ogólnej poprawie jakości życia mieszkańców poprzez obniżanie bezrobocia i rozwój komunikacji z ościennymi gminami jak i z ważnymi ośrodkami województwa.</w:t>
      </w:r>
    </w:p>
    <w:p w14:paraId="42C69CA8" w14:textId="3D82B4E4" w:rsidR="009E6ED5" w:rsidRPr="00427C1D" w:rsidRDefault="009846AF" w:rsidP="009846AF">
      <w:pPr>
        <w:spacing w:after="160"/>
        <w:jc w:val="both"/>
      </w:pPr>
      <w:r>
        <w:t>Na koniec m</w:t>
      </w:r>
      <w:r w:rsidRPr="00427C1D">
        <w:t xml:space="preserve">ożna powiedzieć, że osoby biorące udział w badaniu są </w:t>
      </w:r>
      <w:r>
        <w:t>istotnymi</w:t>
      </w:r>
      <w:r w:rsidRPr="00427C1D">
        <w:t xml:space="preserve"> inter</w:t>
      </w:r>
      <w:r>
        <w:t xml:space="preserve">esariuszami strategii rozwoju </w:t>
      </w:r>
      <w:r w:rsidR="000C70A3">
        <w:t>gminy</w:t>
      </w:r>
      <w:r>
        <w:t xml:space="preserve">, ponieważ </w:t>
      </w:r>
      <w:r w:rsidR="00433EDD">
        <w:t>ponad 94%</w:t>
      </w:r>
      <w:r>
        <w:t xml:space="preserve"> </w:t>
      </w:r>
      <w:r w:rsidR="000C70A3">
        <w:t>ankietowanych to mieszkańcy Gminy Dydnia</w:t>
      </w:r>
      <w:r w:rsidR="003D28D4" w:rsidRPr="00427C1D">
        <w:t>.</w:t>
      </w:r>
    </w:p>
    <w:sectPr w:rsidR="009E6ED5" w:rsidRPr="00427C1D" w:rsidSect="00476805">
      <w:headerReference w:type="even" r:id="rId15"/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CC312" w14:textId="77777777" w:rsidR="00073902" w:rsidRDefault="00073902" w:rsidP="00130ADB">
      <w:pPr>
        <w:spacing w:after="0" w:line="240" w:lineRule="auto"/>
      </w:pPr>
      <w:r>
        <w:separator/>
      </w:r>
    </w:p>
  </w:endnote>
  <w:endnote w:type="continuationSeparator" w:id="0">
    <w:p w14:paraId="78A014B2" w14:textId="77777777" w:rsidR="00073902" w:rsidRDefault="00073902" w:rsidP="0013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DE9B" w14:textId="4CA4B0B2" w:rsidR="00122E56" w:rsidRDefault="00122E56" w:rsidP="00BE3831">
    <w:pPr>
      <w:pStyle w:val="Stopka"/>
      <w:ind w:left="1416"/>
      <w:jc w:val="right"/>
    </w:pPr>
    <w:r>
      <w:fldChar w:fldCharType="begin"/>
    </w:r>
    <w:r>
      <w:instrText>PAGE   \* MERGEFORMAT</w:instrText>
    </w:r>
    <w:r>
      <w:fldChar w:fldCharType="separate"/>
    </w:r>
    <w:r w:rsidR="001C0A21"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4A8FB" w14:textId="77777777" w:rsidR="00073902" w:rsidRDefault="00073902" w:rsidP="00130ADB">
      <w:pPr>
        <w:spacing w:after="0" w:line="240" w:lineRule="auto"/>
      </w:pPr>
      <w:r>
        <w:separator/>
      </w:r>
    </w:p>
  </w:footnote>
  <w:footnote w:type="continuationSeparator" w:id="0">
    <w:p w14:paraId="763CC60B" w14:textId="77777777" w:rsidR="00073902" w:rsidRDefault="00073902" w:rsidP="00130ADB">
      <w:pPr>
        <w:spacing w:after="0" w:line="240" w:lineRule="auto"/>
      </w:pPr>
      <w:r>
        <w:continuationSeparator/>
      </w:r>
    </w:p>
  </w:footnote>
  <w:footnote w:id="1">
    <w:p w14:paraId="55E6C2F3" w14:textId="77777777" w:rsidR="00122E56" w:rsidRDefault="00122E56" w:rsidP="000E62A8">
      <w:pPr>
        <w:spacing w:after="12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0E62A8">
        <w:rPr>
          <w:sz w:val="20"/>
        </w:rPr>
        <w:t>Pytanie wielokrotnego wyboru – każda osoba mogła wybrać do trzech obszarów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4AF0" w14:textId="77777777" w:rsidR="00122E56" w:rsidRDefault="00122E5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91"/>
      <w:gridCol w:w="1604"/>
    </w:tblGrid>
    <w:tr w:rsidR="00122E56" w14:paraId="4310367B" w14:textId="77777777" w:rsidTr="001675E5">
      <w:trPr>
        <w:trHeight w:val="1590"/>
      </w:trPr>
      <w:tc>
        <w:tcPr>
          <w:tcW w:w="413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2FE701" w14:textId="1D761032" w:rsidR="00122E56" w:rsidRPr="00232337" w:rsidRDefault="00122E56" w:rsidP="007A0E29">
          <w:pPr>
            <w:pStyle w:val="Nagwek"/>
            <w:tabs>
              <w:tab w:val="clear" w:pos="9072"/>
              <w:tab w:val="right" w:pos="9923"/>
            </w:tabs>
            <w:ind w:right="-370"/>
            <w:rPr>
              <w:b/>
              <w:i/>
              <w:color w:val="7F7F7F"/>
            </w:rPr>
          </w:pPr>
          <w:r>
            <w:rPr>
              <w:rFonts w:ascii="Arial" w:hAnsi="Arial" w:cs="Arial"/>
              <w:b/>
              <w:bCs/>
              <w:i/>
              <w:color w:val="7F7F7F"/>
            </w:rPr>
            <w:t>Strategia</w:t>
          </w:r>
          <w:r w:rsidRPr="00232337">
            <w:rPr>
              <w:rFonts w:ascii="Arial" w:hAnsi="Arial" w:cs="Arial"/>
              <w:b/>
              <w:bCs/>
              <w:i/>
              <w:color w:val="7F7F7F"/>
            </w:rPr>
            <w:t xml:space="preserve"> Rozwoju</w:t>
          </w:r>
          <w:r>
            <w:rPr>
              <w:rFonts w:ascii="Arial" w:hAnsi="Arial" w:cs="Arial"/>
              <w:b/>
              <w:bCs/>
              <w:i/>
              <w:color w:val="7F7F7F"/>
            </w:rPr>
            <w:t xml:space="preserve"> Gminy Dydnia na lata 2021-2030</w:t>
          </w:r>
        </w:p>
      </w:tc>
      <w:tc>
        <w:tcPr>
          <w:tcW w:w="863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A48B388" w14:textId="11560C76" w:rsidR="00122E56" w:rsidRPr="007A0E29" w:rsidRDefault="00122E56" w:rsidP="007A0E29">
          <w:pPr>
            <w:pStyle w:val="Nagwek"/>
            <w:tabs>
              <w:tab w:val="clear" w:pos="9072"/>
              <w:tab w:val="right" w:pos="9923"/>
            </w:tabs>
            <w:ind w:left="0"/>
          </w:pPr>
          <w:r>
            <w:rPr>
              <w:noProof/>
              <w:lang w:eastAsia="pl-PL"/>
            </w:rPr>
            <w:drawing>
              <wp:inline distT="0" distB="0" distL="0" distR="0" wp14:anchorId="2D28D7BF" wp14:editId="12E97BCD">
                <wp:extent cx="589568" cy="685800"/>
                <wp:effectExtent l="0" t="0" r="1270" b="0"/>
                <wp:docPr id="28" name="Obraz 28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400" cy="693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EDC947" w14:textId="0765FEE5" w:rsidR="00122E56" w:rsidRDefault="00122E56" w:rsidP="00130ADB">
    <w:pPr>
      <w:pStyle w:val="Nagwek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D363A" wp14:editId="6EF0584D">
              <wp:simplePos x="0" y="0"/>
              <wp:positionH relativeFrom="column">
                <wp:posOffset>-75565</wp:posOffset>
              </wp:positionH>
              <wp:positionV relativeFrom="paragraph">
                <wp:posOffset>-459105</wp:posOffset>
              </wp:positionV>
              <wp:extent cx="0" cy="10692130"/>
              <wp:effectExtent l="10160" t="7620" r="8890" b="635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B317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.95pt;margin-top:-36.15pt;width:0;height:8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" strokecolor="#a5a5a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5A30"/>
    <w:multiLevelType w:val="hybridMultilevel"/>
    <w:tmpl w:val="60F8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66D"/>
    <w:multiLevelType w:val="hybridMultilevel"/>
    <w:tmpl w:val="D312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2123"/>
    <w:multiLevelType w:val="hybridMultilevel"/>
    <w:tmpl w:val="E9CCDF68"/>
    <w:lvl w:ilvl="0" w:tplc="A65A3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63682"/>
    <w:multiLevelType w:val="hybridMultilevel"/>
    <w:tmpl w:val="E1EC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5C8A"/>
    <w:multiLevelType w:val="hybridMultilevel"/>
    <w:tmpl w:val="AD86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DB"/>
    <w:rsid w:val="00000C1E"/>
    <w:rsid w:val="000014FD"/>
    <w:rsid w:val="000072F3"/>
    <w:rsid w:val="0001448B"/>
    <w:rsid w:val="00021D7B"/>
    <w:rsid w:val="00032965"/>
    <w:rsid w:val="0004292E"/>
    <w:rsid w:val="00057718"/>
    <w:rsid w:val="00057CDC"/>
    <w:rsid w:val="00061A31"/>
    <w:rsid w:val="00070EFA"/>
    <w:rsid w:val="00073902"/>
    <w:rsid w:val="000778E4"/>
    <w:rsid w:val="00081985"/>
    <w:rsid w:val="00084E41"/>
    <w:rsid w:val="00085153"/>
    <w:rsid w:val="00091B93"/>
    <w:rsid w:val="00092989"/>
    <w:rsid w:val="00093B04"/>
    <w:rsid w:val="00094494"/>
    <w:rsid w:val="0009507F"/>
    <w:rsid w:val="00095BAA"/>
    <w:rsid w:val="000A1320"/>
    <w:rsid w:val="000A4CE2"/>
    <w:rsid w:val="000B19D4"/>
    <w:rsid w:val="000B543B"/>
    <w:rsid w:val="000C4E0A"/>
    <w:rsid w:val="000C6676"/>
    <w:rsid w:val="000C70A3"/>
    <w:rsid w:val="000D693F"/>
    <w:rsid w:val="000E3983"/>
    <w:rsid w:val="000E4084"/>
    <w:rsid w:val="000E62A8"/>
    <w:rsid w:val="000F15A1"/>
    <w:rsid w:val="000F7154"/>
    <w:rsid w:val="0010413C"/>
    <w:rsid w:val="00104F08"/>
    <w:rsid w:val="0011330D"/>
    <w:rsid w:val="00116DC1"/>
    <w:rsid w:val="001205B6"/>
    <w:rsid w:val="00122E56"/>
    <w:rsid w:val="00124F36"/>
    <w:rsid w:val="00127C50"/>
    <w:rsid w:val="00130ADB"/>
    <w:rsid w:val="00137AB6"/>
    <w:rsid w:val="0014162B"/>
    <w:rsid w:val="00142F2D"/>
    <w:rsid w:val="00147E0F"/>
    <w:rsid w:val="00165BD9"/>
    <w:rsid w:val="001675E5"/>
    <w:rsid w:val="001808D3"/>
    <w:rsid w:val="00183B95"/>
    <w:rsid w:val="0019734A"/>
    <w:rsid w:val="001A5743"/>
    <w:rsid w:val="001A5897"/>
    <w:rsid w:val="001A5D61"/>
    <w:rsid w:val="001C0A21"/>
    <w:rsid w:val="001C2E47"/>
    <w:rsid w:val="001C4206"/>
    <w:rsid w:val="001C5107"/>
    <w:rsid w:val="001C7699"/>
    <w:rsid w:val="001D1785"/>
    <w:rsid w:val="001D384D"/>
    <w:rsid w:val="001E0BBF"/>
    <w:rsid w:val="001F17F4"/>
    <w:rsid w:val="001F1BD9"/>
    <w:rsid w:val="001F254D"/>
    <w:rsid w:val="001F45C1"/>
    <w:rsid w:val="001F48CD"/>
    <w:rsid w:val="002213C2"/>
    <w:rsid w:val="00231EC9"/>
    <w:rsid w:val="00234889"/>
    <w:rsid w:val="00251D16"/>
    <w:rsid w:val="00252D76"/>
    <w:rsid w:val="00256BA6"/>
    <w:rsid w:val="00257121"/>
    <w:rsid w:val="00275272"/>
    <w:rsid w:val="00281D18"/>
    <w:rsid w:val="0029127F"/>
    <w:rsid w:val="002955BC"/>
    <w:rsid w:val="002A6B4F"/>
    <w:rsid w:val="002A6C40"/>
    <w:rsid w:val="002B2592"/>
    <w:rsid w:val="002B48E9"/>
    <w:rsid w:val="002C1C43"/>
    <w:rsid w:val="002D4C2E"/>
    <w:rsid w:val="002E7F2E"/>
    <w:rsid w:val="002F1E30"/>
    <w:rsid w:val="002F6080"/>
    <w:rsid w:val="003030FF"/>
    <w:rsid w:val="00314213"/>
    <w:rsid w:val="00321615"/>
    <w:rsid w:val="003320E2"/>
    <w:rsid w:val="00332E0E"/>
    <w:rsid w:val="0034271B"/>
    <w:rsid w:val="0034357E"/>
    <w:rsid w:val="00344A68"/>
    <w:rsid w:val="003510CF"/>
    <w:rsid w:val="0035651E"/>
    <w:rsid w:val="00357699"/>
    <w:rsid w:val="00357CD1"/>
    <w:rsid w:val="0036402E"/>
    <w:rsid w:val="00375918"/>
    <w:rsid w:val="0037745E"/>
    <w:rsid w:val="00377B5D"/>
    <w:rsid w:val="003913C2"/>
    <w:rsid w:val="00396C00"/>
    <w:rsid w:val="003A5178"/>
    <w:rsid w:val="003B20AE"/>
    <w:rsid w:val="003D28D4"/>
    <w:rsid w:val="003D5D7F"/>
    <w:rsid w:val="003D69C1"/>
    <w:rsid w:val="003D76D1"/>
    <w:rsid w:val="003E2217"/>
    <w:rsid w:val="003E69AF"/>
    <w:rsid w:val="00404B00"/>
    <w:rsid w:val="00411BC0"/>
    <w:rsid w:val="00412495"/>
    <w:rsid w:val="00413DB3"/>
    <w:rsid w:val="00422345"/>
    <w:rsid w:val="00422B6F"/>
    <w:rsid w:val="00425C1D"/>
    <w:rsid w:val="00427C1D"/>
    <w:rsid w:val="00433EDD"/>
    <w:rsid w:val="00445CEF"/>
    <w:rsid w:val="004516DA"/>
    <w:rsid w:val="00453C89"/>
    <w:rsid w:val="004649F9"/>
    <w:rsid w:val="004669D7"/>
    <w:rsid w:val="00470044"/>
    <w:rsid w:val="004716C4"/>
    <w:rsid w:val="0047509F"/>
    <w:rsid w:val="00476805"/>
    <w:rsid w:val="00476E17"/>
    <w:rsid w:val="004779AE"/>
    <w:rsid w:val="004868CD"/>
    <w:rsid w:val="00490592"/>
    <w:rsid w:val="00492A6B"/>
    <w:rsid w:val="0049513D"/>
    <w:rsid w:val="004A18FB"/>
    <w:rsid w:val="004A4B90"/>
    <w:rsid w:val="004B030D"/>
    <w:rsid w:val="004B53DA"/>
    <w:rsid w:val="004B738D"/>
    <w:rsid w:val="004C1F4F"/>
    <w:rsid w:val="004C3CB5"/>
    <w:rsid w:val="004D3359"/>
    <w:rsid w:val="004D3C8E"/>
    <w:rsid w:val="004D5079"/>
    <w:rsid w:val="004E0D41"/>
    <w:rsid w:val="004E3217"/>
    <w:rsid w:val="004E5462"/>
    <w:rsid w:val="004F14CD"/>
    <w:rsid w:val="004F4E43"/>
    <w:rsid w:val="004F54EE"/>
    <w:rsid w:val="005004F7"/>
    <w:rsid w:val="00500724"/>
    <w:rsid w:val="00500814"/>
    <w:rsid w:val="005008A4"/>
    <w:rsid w:val="005024AF"/>
    <w:rsid w:val="00507521"/>
    <w:rsid w:val="005115C7"/>
    <w:rsid w:val="005259BB"/>
    <w:rsid w:val="005304BB"/>
    <w:rsid w:val="00534AFA"/>
    <w:rsid w:val="00534C85"/>
    <w:rsid w:val="00535F24"/>
    <w:rsid w:val="00542966"/>
    <w:rsid w:val="00551DCB"/>
    <w:rsid w:val="00556EB2"/>
    <w:rsid w:val="0056084C"/>
    <w:rsid w:val="00575A6A"/>
    <w:rsid w:val="00575BF2"/>
    <w:rsid w:val="0059045C"/>
    <w:rsid w:val="00596F10"/>
    <w:rsid w:val="005A0FF2"/>
    <w:rsid w:val="005A67A1"/>
    <w:rsid w:val="005B6AF3"/>
    <w:rsid w:val="005C3020"/>
    <w:rsid w:val="005C76FD"/>
    <w:rsid w:val="005C79C9"/>
    <w:rsid w:val="005D08E2"/>
    <w:rsid w:val="005E2D7D"/>
    <w:rsid w:val="005E3183"/>
    <w:rsid w:val="005E6098"/>
    <w:rsid w:val="005E7A20"/>
    <w:rsid w:val="005E7F62"/>
    <w:rsid w:val="005F3C7E"/>
    <w:rsid w:val="005F3F5A"/>
    <w:rsid w:val="005F6401"/>
    <w:rsid w:val="006003BC"/>
    <w:rsid w:val="006027A5"/>
    <w:rsid w:val="00603514"/>
    <w:rsid w:val="006055D7"/>
    <w:rsid w:val="00606F99"/>
    <w:rsid w:val="00616E6E"/>
    <w:rsid w:val="00617945"/>
    <w:rsid w:val="00622776"/>
    <w:rsid w:val="00623D87"/>
    <w:rsid w:val="00625A1D"/>
    <w:rsid w:val="00631F1F"/>
    <w:rsid w:val="00633429"/>
    <w:rsid w:val="00641F82"/>
    <w:rsid w:val="00642CB0"/>
    <w:rsid w:val="006434A0"/>
    <w:rsid w:val="00655662"/>
    <w:rsid w:val="00657959"/>
    <w:rsid w:val="00671DF4"/>
    <w:rsid w:val="00680E05"/>
    <w:rsid w:val="00684BC0"/>
    <w:rsid w:val="0069024A"/>
    <w:rsid w:val="00693D0A"/>
    <w:rsid w:val="0069770D"/>
    <w:rsid w:val="006A3121"/>
    <w:rsid w:val="006A78A5"/>
    <w:rsid w:val="006B402C"/>
    <w:rsid w:val="006B6A57"/>
    <w:rsid w:val="006B7D66"/>
    <w:rsid w:val="006C11AC"/>
    <w:rsid w:val="006C1566"/>
    <w:rsid w:val="006C1BF0"/>
    <w:rsid w:val="006C27FA"/>
    <w:rsid w:val="006C2CA1"/>
    <w:rsid w:val="006E40EE"/>
    <w:rsid w:val="006F6A30"/>
    <w:rsid w:val="00705D58"/>
    <w:rsid w:val="007072AF"/>
    <w:rsid w:val="00707983"/>
    <w:rsid w:val="0071586C"/>
    <w:rsid w:val="0074161C"/>
    <w:rsid w:val="0075656E"/>
    <w:rsid w:val="00761F59"/>
    <w:rsid w:val="00763A21"/>
    <w:rsid w:val="00765D93"/>
    <w:rsid w:val="0077002B"/>
    <w:rsid w:val="007719B1"/>
    <w:rsid w:val="00774EFC"/>
    <w:rsid w:val="00776368"/>
    <w:rsid w:val="00782F6A"/>
    <w:rsid w:val="00785652"/>
    <w:rsid w:val="00792CF0"/>
    <w:rsid w:val="007963AF"/>
    <w:rsid w:val="007A0E29"/>
    <w:rsid w:val="007A761A"/>
    <w:rsid w:val="007B237C"/>
    <w:rsid w:val="007B5CF1"/>
    <w:rsid w:val="007C1C20"/>
    <w:rsid w:val="007C5674"/>
    <w:rsid w:val="007C5794"/>
    <w:rsid w:val="007D108C"/>
    <w:rsid w:val="007D213F"/>
    <w:rsid w:val="007D21A1"/>
    <w:rsid w:val="007D5935"/>
    <w:rsid w:val="007E13CE"/>
    <w:rsid w:val="007E3304"/>
    <w:rsid w:val="007E5BDF"/>
    <w:rsid w:val="007E6BEB"/>
    <w:rsid w:val="007F0335"/>
    <w:rsid w:val="007F21B7"/>
    <w:rsid w:val="007F2F93"/>
    <w:rsid w:val="007F3F65"/>
    <w:rsid w:val="00800FD3"/>
    <w:rsid w:val="0080295A"/>
    <w:rsid w:val="008070AE"/>
    <w:rsid w:val="00815F5F"/>
    <w:rsid w:val="00827B87"/>
    <w:rsid w:val="00836822"/>
    <w:rsid w:val="00836E8D"/>
    <w:rsid w:val="00837DD0"/>
    <w:rsid w:val="00842A7F"/>
    <w:rsid w:val="00842C28"/>
    <w:rsid w:val="00842CD9"/>
    <w:rsid w:val="00843F4D"/>
    <w:rsid w:val="0085271F"/>
    <w:rsid w:val="00854325"/>
    <w:rsid w:val="00855170"/>
    <w:rsid w:val="008557CE"/>
    <w:rsid w:val="0087216C"/>
    <w:rsid w:val="00872FE8"/>
    <w:rsid w:val="0087635C"/>
    <w:rsid w:val="00877CB2"/>
    <w:rsid w:val="008860FD"/>
    <w:rsid w:val="00886F27"/>
    <w:rsid w:val="008962EA"/>
    <w:rsid w:val="008A0B85"/>
    <w:rsid w:val="008B19B8"/>
    <w:rsid w:val="008B40AA"/>
    <w:rsid w:val="008C01A5"/>
    <w:rsid w:val="008C1507"/>
    <w:rsid w:val="008D32DD"/>
    <w:rsid w:val="008D436C"/>
    <w:rsid w:val="008D4F65"/>
    <w:rsid w:val="008F2992"/>
    <w:rsid w:val="008F3F2B"/>
    <w:rsid w:val="008F4C1D"/>
    <w:rsid w:val="008F7581"/>
    <w:rsid w:val="00900872"/>
    <w:rsid w:val="009018A0"/>
    <w:rsid w:val="00902995"/>
    <w:rsid w:val="00903CA5"/>
    <w:rsid w:val="0091102C"/>
    <w:rsid w:val="00912B2B"/>
    <w:rsid w:val="009138BA"/>
    <w:rsid w:val="00926154"/>
    <w:rsid w:val="009309CC"/>
    <w:rsid w:val="009311AF"/>
    <w:rsid w:val="00933EFB"/>
    <w:rsid w:val="0093474C"/>
    <w:rsid w:val="00936692"/>
    <w:rsid w:val="00940DCC"/>
    <w:rsid w:val="009467A1"/>
    <w:rsid w:val="00946BD5"/>
    <w:rsid w:val="00950218"/>
    <w:rsid w:val="0095246E"/>
    <w:rsid w:val="00952939"/>
    <w:rsid w:val="00954F45"/>
    <w:rsid w:val="00957815"/>
    <w:rsid w:val="00960DD4"/>
    <w:rsid w:val="00965412"/>
    <w:rsid w:val="009715C4"/>
    <w:rsid w:val="00976A3B"/>
    <w:rsid w:val="00976ADB"/>
    <w:rsid w:val="009846AF"/>
    <w:rsid w:val="0099132B"/>
    <w:rsid w:val="009A0D7D"/>
    <w:rsid w:val="009A2CEF"/>
    <w:rsid w:val="009C6602"/>
    <w:rsid w:val="009E2B0D"/>
    <w:rsid w:val="009E2C5E"/>
    <w:rsid w:val="009E3AB6"/>
    <w:rsid w:val="009E430B"/>
    <w:rsid w:val="009E6ED5"/>
    <w:rsid w:val="009F631C"/>
    <w:rsid w:val="00A009F1"/>
    <w:rsid w:val="00A06F3E"/>
    <w:rsid w:val="00A11D34"/>
    <w:rsid w:val="00A14F28"/>
    <w:rsid w:val="00A1679E"/>
    <w:rsid w:val="00A17B33"/>
    <w:rsid w:val="00A251B0"/>
    <w:rsid w:val="00A273FC"/>
    <w:rsid w:val="00A400EC"/>
    <w:rsid w:val="00A43ECD"/>
    <w:rsid w:val="00A555D2"/>
    <w:rsid w:val="00A64717"/>
    <w:rsid w:val="00A6788D"/>
    <w:rsid w:val="00A70080"/>
    <w:rsid w:val="00A71B2F"/>
    <w:rsid w:val="00A71EB5"/>
    <w:rsid w:val="00A74447"/>
    <w:rsid w:val="00A77B02"/>
    <w:rsid w:val="00A80316"/>
    <w:rsid w:val="00A87A78"/>
    <w:rsid w:val="00A90151"/>
    <w:rsid w:val="00A91BBA"/>
    <w:rsid w:val="00AA1965"/>
    <w:rsid w:val="00AA1C06"/>
    <w:rsid w:val="00AA6DA7"/>
    <w:rsid w:val="00AB04C1"/>
    <w:rsid w:val="00AB0E4F"/>
    <w:rsid w:val="00AB7576"/>
    <w:rsid w:val="00AB7E34"/>
    <w:rsid w:val="00AC0078"/>
    <w:rsid w:val="00AD47F5"/>
    <w:rsid w:val="00AD6FB7"/>
    <w:rsid w:val="00AE4A26"/>
    <w:rsid w:val="00AE6503"/>
    <w:rsid w:val="00AF1A55"/>
    <w:rsid w:val="00AF6FF7"/>
    <w:rsid w:val="00AF7D35"/>
    <w:rsid w:val="00B0665B"/>
    <w:rsid w:val="00B16C6A"/>
    <w:rsid w:val="00B25229"/>
    <w:rsid w:val="00B2547B"/>
    <w:rsid w:val="00B26F6D"/>
    <w:rsid w:val="00B271BF"/>
    <w:rsid w:val="00B3256E"/>
    <w:rsid w:val="00B34D98"/>
    <w:rsid w:val="00B35727"/>
    <w:rsid w:val="00B35A1D"/>
    <w:rsid w:val="00B37855"/>
    <w:rsid w:val="00B44A79"/>
    <w:rsid w:val="00B44C8A"/>
    <w:rsid w:val="00B45A14"/>
    <w:rsid w:val="00B55DE7"/>
    <w:rsid w:val="00B60586"/>
    <w:rsid w:val="00B70661"/>
    <w:rsid w:val="00B74FF5"/>
    <w:rsid w:val="00B76D35"/>
    <w:rsid w:val="00B914B7"/>
    <w:rsid w:val="00B94EDD"/>
    <w:rsid w:val="00B96EF8"/>
    <w:rsid w:val="00BB113F"/>
    <w:rsid w:val="00BB7A0D"/>
    <w:rsid w:val="00BC112A"/>
    <w:rsid w:val="00BC50C4"/>
    <w:rsid w:val="00BE1D50"/>
    <w:rsid w:val="00BE3831"/>
    <w:rsid w:val="00BF20B2"/>
    <w:rsid w:val="00BF2171"/>
    <w:rsid w:val="00BF342A"/>
    <w:rsid w:val="00BF5F7C"/>
    <w:rsid w:val="00BF6DEA"/>
    <w:rsid w:val="00BF7003"/>
    <w:rsid w:val="00C141BC"/>
    <w:rsid w:val="00C20312"/>
    <w:rsid w:val="00C232D9"/>
    <w:rsid w:val="00C30FC8"/>
    <w:rsid w:val="00C35AC1"/>
    <w:rsid w:val="00C35D49"/>
    <w:rsid w:val="00C57B63"/>
    <w:rsid w:val="00C64BF5"/>
    <w:rsid w:val="00C67946"/>
    <w:rsid w:val="00C72A6F"/>
    <w:rsid w:val="00C74703"/>
    <w:rsid w:val="00C80380"/>
    <w:rsid w:val="00C81DCC"/>
    <w:rsid w:val="00C845DC"/>
    <w:rsid w:val="00C85830"/>
    <w:rsid w:val="00C90549"/>
    <w:rsid w:val="00C90E1C"/>
    <w:rsid w:val="00C91EB7"/>
    <w:rsid w:val="00CA2305"/>
    <w:rsid w:val="00CA5C78"/>
    <w:rsid w:val="00CB0176"/>
    <w:rsid w:val="00CB5380"/>
    <w:rsid w:val="00CB5EEC"/>
    <w:rsid w:val="00CB6026"/>
    <w:rsid w:val="00CC28E7"/>
    <w:rsid w:val="00CC3D16"/>
    <w:rsid w:val="00CC4D42"/>
    <w:rsid w:val="00CC7776"/>
    <w:rsid w:val="00CC7D4F"/>
    <w:rsid w:val="00CD78DB"/>
    <w:rsid w:val="00CE7D60"/>
    <w:rsid w:val="00CF3073"/>
    <w:rsid w:val="00CF313E"/>
    <w:rsid w:val="00CF4E73"/>
    <w:rsid w:val="00D028AF"/>
    <w:rsid w:val="00D11B3E"/>
    <w:rsid w:val="00D1538E"/>
    <w:rsid w:val="00D2619D"/>
    <w:rsid w:val="00D2702A"/>
    <w:rsid w:val="00D478D5"/>
    <w:rsid w:val="00D60877"/>
    <w:rsid w:val="00D61EBD"/>
    <w:rsid w:val="00D629CE"/>
    <w:rsid w:val="00D62E49"/>
    <w:rsid w:val="00D63775"/>
    <w:rsid w:val="00D714F2"/>
    <w:rsid w:val="00D7250B"/>
    <w:rsid w:val="00D81DF2"/>
    <w:rsid w:val="00D845A8"/>
    <w:rsid w:val="00D85F8E"/>
    <w:rsid w:val="00D87696"/>
    <w:rsid w:val="00D87DAE"/>
    <w:rsid w:val="00DA16A2"/>
    <w:rsid w:val="00DA6797"/>
    <w:rsid w:val="00DB1A0C"/>
    <w:rsid w:val="00DB39A7"/>
    <w:rsid w:val="00DB4846"/>
    <w:rsid w:val="00DC14BC"/>
    <w:rsid w:val="00DC2007"/>
    <w:rsid w:val="00DC5F61"/>
    <w:rsid w:val="00DC740A"/>
    <w:rsid w:val="00DC7F5F"/>
    <w:rsid w:val="00DD056B"/>
    <w:rsid w:val="00DD459C"/>
    <w:rsid w:val="00DD6E7B"/>
    <w:rsid w:val="00DE6D83"/>
    <w:rsid w:val="00DF47EB"/>
    <w:rsid w:val="00DF6030"/>
    <w:rsid w:val="00E03B68"/>
    <w:rsid w:val="00E1146C"/>
    <w:rsid w:val="00E12CEE"/>
    <w:rsid w:val="00E1313D"/>
    <w:rsid w:val="00E1314F"/>
    <w:rsid w:val="00E1593D"/>
    <w:rsid w:val="00E21167"/>
    <w:rsid w:val="00E224D8"/>
    <w:rsid w:val="00E27FBD"/>
    <w:rsid w:val="00E31DDB"/>
    <w:rsid w:val="00E33BB9"/>
    <w:rsid w:val="00E51723"/>
    <w:rsid w:val="00E52252"/>
    <w:rsid w:val="00E55416"/>
    <w:rsid w:val="00E56DF3"/>
    <w:rsid w:val="00E62172"/>
    <w:rsid w:val="00E62507"/>
    <w:rsid w:val="00E73408"/>
    <w:rsid w:val="00E80315"/>
    <w:rsid w:val="00E90A64"/>
    <w:rsid w:val="00E91F4D"/>
    <w:rsid w:val="00E93263"/>
    <w:rsid w:val="00E94211"/>
    <w:rsid w:val="00E94B2F"/>
    <w:rsid w:val="00E94D92"/>
    <w:rsid w:val="00EA0391"/>
    <w:rsid w:val="00EB28AE"/>
    <w:rsid w:val="00EB2B4B"/>
    <w:rsid w:val="00EB5715"/>
    <w:rsid w:val="00EC0CDE"/>
    <w:rsid w:val="00EC3146"/>
    <w:rsid w:val="00EC7CAF"/>
    <w:rsid w:val="00ED57EA"/>
    <w:rsid w:val="00EF3A7C"/>
    <w:rsid w:val="00F03114"/>
    <w:rsid w:val="00F044BD"/>
    <w:rsid w:val="00F044ED"/>
    <w:rsid w:val="00F04A54"/>
    <w:rsid w:val="00F06851"/>
    <w:rsid w:val="00F20B12"/>
    <w:rsid w:val="00F24229"/>
    <w:rsid w:val="00F27FDC"/>
    <w:rsid w:val="00F300A4"/>
    <w:rsid w:val="00F31DF6"/>
    <w:rsid w:val="00F37344"/>
    <w:rsid w:val="00F41082"/>
    <w:rsid w:val="00F43984"/>
    <w:rsid w:val="00F61C28"/>
    <w:rsid w:val="00F92FBA"/>
    <w:rsid w:val="00FB2902"/>
    <w:rsid w:val="00FB672B"/>
    <w:rsid w:val="00FB7886"/>
    <w:rsid w:val="00FC3FEC"/>
    <w:rsid w:val="00FD3366"/>
    <w:rsid w:val="00FD4928"/>
    <w:rsid w:val="00FD74E0"/>
    <w:rsid w:val="00FE16D4"/>
    <w:rsid w:val="00FE22A6"/>
    <w:rsid w:val="00FE499D"/>
    <w:rsid w:val="00FF0638"/>
    <w:rsid w:val="00FF080B"/>
    <w:rsid w:val="00FF1841"/>
    <w:rsid w:val="00FF1ACB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78713"/>
  <w15:docId w15:val="{9A6EE318-0BC8-4EEB-9C53-8076414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27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link w:val="Nagwek2Znak"/>
    <w:uiPriority w:val="9"/>
    <w:qFormat/>
    <w:rsid w:val="00BE3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ADB"/>
    <w:pPr>
      <w:tabs>
        <w:tab w:val="center" w:pos="4536"/>
        <w:tab w:val="right" w:pos="9072"/>
      </w:tabs>
      <w:spacing w:after="0" w:line="240" w:lineRule="auto"/>
      <w:ind w:left="567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130ADB"/>
  </w:style>
  <w:style w:type="paragraph" w:styleId="Stopka">
    <w:name w:val="footer"/>
    <w:basedOn w:val="Normalny"/>
    <w:link w:val="StopkaZnak"/>
    <w:uiPriority w:val="99"/>
    <w:unhideWhenUsed/>
    <w:rsid w:val="00130ADB"/>
    <w:pPr>
      <w:tabs>
        <w:tab w:val="center" w:pos="4536"/>
        <w:tab w:val="right" w:pos="9072"/>
      </w:tabs>
      <w:spacing w:after="0" w:line="240" w:lineRule="auto"/>
      <w:ind w:left="5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130ADB"/>
  </w:style>
  <w:style w:type="character" w:customStyle="1" w:styleId="Nagwek1Znak">
    <w:name w:val="Nagłówek 1 Znak"/>
    <w:link w:val="Nagwek1"/>
    <w:rsid w:val="006C27FA"/>
    <w:rPr>
      <w:rFonts w:ascii="Times New Roman" w:eastAsia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6C27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link w:val="Tytu"/>
    <w:rsid w:val="006C27FA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6C27F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C27FA"/>
    <w:rPr>
      <w:rFonts w:ascii="Times New Roman" w:eastAsia="Times New Roman" w:hAnsi="Times New Roman"/>
      <w:sz w:val="24"/>
    </w:rPr>
  </w:style>
  <w:style w:type="character" w:styleId="Hipercze">
    <w:name w:val="Hyperlink"/>
    <w:unhideWhenUsed/>
    <w:rsid w:val="00CC28E7"/>
    <w:rPr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04292E"/>
    <w:rPr>
      <w:b/>
      <w:bCs/>
    </w:rPr>
  </w:style>
  <w:style w:type="paragraph" w:styleId="Akapitzlist">
    <w:name w:val="List Paragraph"/>
    <w:basedOn w:val="Normalny"/>
    <w:uiPriority w:val="34"/>
    <w:qFormat/>
    <w:rsid w:val="007719B1"/>
    <w:pPr>
      <w:ind w:left="720"/>
      <w:contextualSpacing/>
    </w:pPr>
  </w:style>
  <w:style w:type="paragraph" w:customStyle="1" w:styleId="Default">
    <w:name w:val="Default"/>
    <w:rsid w:val="003774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rsid w:val="00671D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3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3831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Bezlisty1">
    <w:name w:val="Bez listy1"/>
    <w:next w:val="Bezlisty"/>
    <w:uiPriority w:val="99"/>
    <w:semiHidden/>
    <w:unhideWhenUsed/>
    <w:rsid w:val="00BE3831"/>
  </w:style>
  <w:style w:type="paragraph" w:styleId="NormalnyWeb">
    <w:name w:val="Normal (Web)"/>
    <w:basedOn w:val="Normalny"/>
    <w:uiPriority w:val="99"/>
    <w:semiHidden/>
    <w:unhideWhenUsed/>
    <w:rsid w:val="00BE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BE3831"/>
    <w:pPr>
      <w:spacing w:line="240" w:lineRule="auto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BE38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27C1D"/>
  </w:style>
  <w:style w:type="paragraph" w:customStyle="1" w:styleId="Legenda2">
    <w:name w:val="Legenda2"/>
    <w:basedOn w:val="Normalny"/>
    <w:next w:val="Normalny"/>
    <w:uiPriority w:val="35"/>
    <w:unhideWhenUsed/>
    <w:qFormat/>
    <w:rsid w:val="00427C1D"/>
    <w:pPr>
      <w:spacing w:line="240" w:lineRule="auto"/>
    </w:pPr>
    <w:rPr>
      <w:i/>
      <w:iCs/>
      <w:color w:val="44546A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D49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2A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2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2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27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BF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\Gmina%20Dydnia\Raport_2020\Zbiorczy-raport_techniczny_dydn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\Gmina%20Dydnia\Raport_2020\Zbiorczy-raport_techniczny_dydn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\Gmina%20Dydnia\Raport_2020\Zbiorczy-raport_techniczny_dydni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\Gmina%20Dydnia\Raport_2020\Zbiorczy-raport_techniczny_dydni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\Gmina%20Dydnia\Raport_2020\Zbiorczy-raport_techniczny_dydni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\Gmina%20Dydnia\Raport_2020\Zbiorczy-raport_techniczny_dydni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ej\Desktop\PRACA\Strategie%202020\Gmina%20Dydnia\Raport_2020\Zbiorczy-raport_techniczny_dydni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303516948791697E-3"/>
                  <c:y val="-2.515501334717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196-4374-9E32-E6486A656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910550846375624E-3"/>
                  <c:y val="-2.3034730506691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196-4374-9E32-E6486A656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raport!$B$6:$B$10</c:f>
              <c:strCache>
                <c:ptCount val="5"/>
                <c:pt idx="0">
                  <c:v>Bardzo źle</c:v>
                </c:pt>
                <c:pt idx="1">
                  <c:v>Źle</c:v>
                </c:pt>
                <c:pt idx="2">
                  <c:v>Średnio</c:v>
                </c:pt>
                <c:pt idx="3">
                  <c:v>Dobrze</c:v>
                </c:pt>
                <c:pt idx="4">
                  <c:v>Bardzo dobrze</c:v>
                </c:pt>
              </c:strCache>
            </c:strRef>
          </c:cat>
          <c:val>
            <c:numRef>
              <c:f>raport!$D$6:$D$10</c:f>
              <c:numCache>
                <c:formatCode>0.00%</c:formatCode>
                <c:ptCount val="5"/>
                <c:pt idx="0">
                  <c:v>0</c:v>
                </c:pt>
                <c:pt idx="1">
                  <c:v>3.3333333333333333E-2</c:v>
                </c:pt>
                <c:pt idx="2">
                  <c:v>0.46666666666666667</c:v>
                </c:pt>
                <c:pt idx="3">
                  <c:v>0.34444444444444444</c:v>
                </c:pt>
                <c:pt idx="4">
                  <c:v>0.15555555555555556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6-4374-9E32-E6486A656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0100312"/>
        <c:axId val="488555400"/>
      </c:barChart>
      <c:catAx>
        <c:axId val="500100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8555400"/>
        <c:crosses val="autoZero"/>
        <c:auto val="1"/>
        <c:lblAlgn val="ctr"/>
        <c:lblOffset val="100"/>
        <c:noMultiLvlLbl val="0"/>
      </c:catAx>
      <c:valAx>
        <c:axId val="488555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0100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raport!$C$34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227513227513227E-2"/>
                  <c:y val="1.47523709167544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0833869257269799E-17"/>
                  <c:y val="4.21496311907266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2045855379188711E-3"/>
                  <c:y val="8.4299262381454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0833869257269799E-17"/>
                  <c:y val="6.32244467860910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8.4299262381454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1022927689594356E-2"/>
                  <c:y val="4.2149631190727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2045855379189522E-3"/>
                  <c:y val="6.32277656546883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6137566137566134E-3"/>
                  <c:y val="6.32244467860913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5432098765432018E-2"/>
                  <c:y val="8.43009218157530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8.0833869257269799E-17"/>
                  <c:y val="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2.4250440917107503E-2"/>
                  <c:y val="2.1074815595363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6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4091710758377423E-3"/>
                  <c:y val="4.2149631190727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A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raport!$B$35:$B$48</c:f>
              <c:strCache>
                <c:ptCount val="14"/>
                <c:pt idx="0">
                  <c:v>Estetyka i czystość w gminie</c:v>
                </c:pt>
                <c:pt idx="1">
                  <c:v>Bezpieczeństwo mieszkańców</c:v>
                </c:pt>
                <c:pt idx="2">
                  <c:v>Ekologia i gospodarka odpadami </c:v>
                </c:pt>
                <c:pt idx="3">
                  <c:v>Zieleń komunalna </c:v>
                </c:pt>
                <c:pt idx="4">
                  <c:v>Stan dróg</c:v>
                </c:pt>
                <c:pt idx="5">
                  <c:v>Stan chodników</c:v>
                </c:pt>
                <c:pt idx="6">
                  <c:v>Jakość oświaty na poziomie podstawowym </c:v>
                </c:pt>
                <c:pt idx="7">
                  <c:v>Opieka nad dziećmi (żłobki i przedszkola)</c:v>
                </c:pt>
                <c:pt idx="8">
                  <c:v>Stan i dostępność infrastruktury sportowej </c:v>
                </c:pt>
                <c:pt idx="9">
                  <c:v>Oferta kulturalno-rozrywkowa</c:v>
                </c:pt>
                <c:pt idx="10">
                  <c:v>Standard i dostępność mieszkań</c:v>
                </c:pt>
                <c:pt idx="11">
                  <c:v>Możliwości znalezienia pracy w gminie</c:v>
                </c:pt>
                <c:pt idx="12">
                  <c:v>Dostęp do usług służby zdrowia</c:v>
                </c:pt>
                <c:pt idx="13">
                  <c:v>Dostępność infrastruktury publicznej dla osób niepełnosprawnych</c:v>
                </c:pt>
              </c:strCache>
            </c:strRef>
          </c:cat>
          <c:val>
            <c:numRef>
              <c:f>raport!$C$35:$C$48</c:f>
              <c:numCache>
                <c:formatCode>0.00%</c:formatCode>
                <c:ptCount val="14"/>
                <c:pt idx="0">
                  <c:v>1.1111111111111112E-2</c:v>
                </c:pt>
                <c:pt idx="1">
                  <c:v>0</c:v>
                </c:pt>
                <c:pt idx="2">
                  <c:v>7.7777777777777779E-2</c:v>
                </c:pt>
                <c:pt idx="3">
                  <c:v>4.4444444444444446E-2</c:v>
                </c:pt>
                <c:pt idx="4">
                  <c:v>6.6666666666666666E-2</c:v>
                </c:pt>
                <c:pt idx="5">
                  <c:v>0.13333333333333333</c:v>
                </c:pt>
                <c:pt idx="6">
                  <c:v>4.4444444444444446E-2</c:v>
                </c:pt>
                <c:pt idx="7">
                  <c:v>2.2222222222222223E-2</c:v>
                </c:pt>
                <c:pt idx="8">
                  <c:v>3.3333333333333333E-2</c:v>
                </c:pt>
                <c:pt idx="9">
                  <c:v>5.5555555555555552E-2</c:v>
                </c:pt>
                <c:pt idx="10">
                  <c:v>0.16666666666666666</c:v>
                </c:pt>
                <c:pt idx="11">
                  <c:v>0.42222222222222222</c:v>
                </c:pt>
                <c:pt idx="12">
                  <c:v>4.4444444444444446E-2</c:v>
                </c:pt>
                <c:pt idx="13">
                  <c:v>2.2222222222222223E-2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D5-4C94-91E5-5FD57EE01AEA}"/>
            </c:ext>
          </c:extLst>
        </c:ser>
        <c:ser>
          <c:idx val="1"/>
          <c:order val="1"/>
          <c:tx>
            <c:strRef>
              <c:f>raport!$D$34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022927689594356E-2"/>
                  <c:y val="1.47523709167544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183421516754845E-3"/>
                  <c:y val="4.2149631190727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8183421516754845E-3"/>
                  <c:y val="8.4299262381454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045855379188711E-3"/>
                  <c:y val="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0833869257269799E-17"/>
                  <c:y val="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2045855379188711E-3"/>
                  <c:y val="6.32244467860913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1022927689594356E-2"/>
                  <c:y val="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1728395061728392E-2"/>
                  <c:y val="6.32294250889871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1022927689594356E-2"/>
                  <c:y val="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4091710758376616E-3"/>
                  <c:y val="6.32244467860913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2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8.8183421516754845E-3"/>
                  <c:y val="1.053740779768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7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8.8183421516754047E-3"/>
                  <c:y val="1.053740779768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B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raport!$B$35:$B$48</c:f>
              <c:strCache>
                <c:ptCount val="14"/>
                <c:pt idx="0">
                  <c:v>Estetyka i czystość w gminie</c:v>
                </c:pt>
                <c:pt idx="1">
                  <c:v>Bezpieczeństwo mieszkańców</c:v>
                </c:pt>
                <c:pt idx="2">
                  <c:v>Ekologia i gospodarka odpadami </c:v>
                </c:pt>
                <c:pt idx="3">
                  <c:v>Zieleń komunalna </c:v>
                </c:pt>
                <c:pt idx="4">
                  <c:v>Stan dróg</c:v>
                </c:pt>
                <c:pt idx="5">
                  <c:v>Stan chodników</c:v>
                </c:pt>
                <c:pt idx="6">
                  <c:v>Jakość oświaty na poziomie podstawowym </c:v>
                </c:pt>
                <c:pt idx="7">
                  <c:v>Opieka nad dziećmi (żłobki i przedszkola)</c:v>
                </c:pt>
                <c:pt idx="8">
                  <c:v>Stan i dostępność infrastruktury sportowej </c:v>
                </c:pt>
                <c:pt idx="9">
                  <c:v>Oferta kulturalno-rozrywkowa</c:v>
                </c:pt>
                <c:pt idx="10">
                  <c:v>Standard i dostępność mieszkań</c:v>
                </c:pt>
                <c:pt idx="11">
                  <c:v>Możliwości znalezienia pracy w gminie</c:v>
                </c:pt>
                <c:pt idx="12">
                  <c:v>Dostęp do usług służby zdrowia</c:v>
                </c:pt>
                <c:pt idx="13">
                  <c:v>Dostępność infrastruktury publicznej dla osób niepełnosprawnych</c:v>
                </c:pt>
              </c:strCache>
            </c:strRef>
          </c:cat>
          <c:val>
            <c:numRef>
              <c:f>raport!$D$35:$D$48</c:f>
              <c:numCache>
                <c:formatCode>0.00%</c:formatCode>
                <c:ptCount val="14"/>
                <c:pt idx="0">
                  <c:v>0.12222222222222222</c:v>
                </c:pt>
                <c:pt idx="1">
                  <c:v>6.6666666666666666E-2</c:v>
                </c:pt>
                <c:pt idx="2">
                  <c:v>0.1111111111111111</c:v>
                </c:pt>
                <c:pt idx="3">
                  <c:v>0.16666666666666666</c:v>
                </c:pt>
                <c:pt idx="4">
                  <c:v>0.27777777777777779</c:v>
                </c:pt>
                <c:pt idx="5">
                  <c:v>0.27777777777777779</c:v>
                </c:pt>
                <c:pt idx="6">
                  <c:v>0.1</c:v>
                </c:pt>
                <c:pt idx="7">
                  <c:v>1.1111111111111112E-2</c:v>
                </c:pt>
                <c:pt idx="8">
                  <c:v>0.1</c:v>
                </c:pt>
                <c:pt idx="9">
                  <c:v>0.27777777777777779</c:v>
                </c:pt>
                <c:pt idx="10">
                  <c:v>0.3888888888888889</c:v>
                </c:pt>
                <c:pt idx="11">
                  <c:v>0.35555555555555557</c:v>
                </c:pt>
                <c:pt idx="12">
                  <c:v>0.21111111111111111</c:v>
                </c:pt>
                <c:pt idx="1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D5-4C94-91E5-5FD57EE01AEA}"/>
            </c:ext>
          </c:extLst>
        </c:ser>
        <c:ser>
          <c:idx val="2"/>
          <c:order val="2"/>
          <c:tx>
            <c:strRef>
              <c:f>raport!$E$34</c:f>
              <c:strCache>
                <c:ptCount val="1"/>
                <c:pt idx="0">
                  <c:v>Średnio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8.0833869257269799E-17"/>
                  <c:y val="1.26448893572181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0833869257269799E-17"/>
                  <c:y val="1.053740779768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8183421516754047E-3"/>
                  <c:y val="1.053740779768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4091710758376616E-3"/>
                  <c:y val="8.4299262381454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8.0833869257269799E-17"/>
                  <c:y val="-8.4299262381454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2045855379188711E-3"/>
                  <c:y val="-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3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raport!$B$35:$B$48</c:f>
              <c:strCache>
                <c:ptCount val="14"/>
                <c:pt idx="0">
                  <c:v>Estetyka i czystość w gminie</c:v>
                </c:pt>
                <c:pt idx="1">
                  <c:v>Bezpieczeństwo mieszkańców</c:v>
                </c:pt>
                <c:pt idx="2">
                  <c:v>Ekologia i gospodarka odpadami </c:v>
                </c:pt>
                <c:pt idx="3">
                  <c:v>Zieleń komunalna </c:v>
                </c:pt>
                <c:pt idx="4">
                  <c:v>Stan dróg</c:v>
                </c:pt>
                <c:pt idx="5">
                  <c:v>Stan chodników</c:v>
                </c:pt>
                <c:pt idx="6">
                  <c:v>Jakość oświaty na poziomie podstawowym </c:v>
                </c:pt>
                <c:pt idx="7">
                  <c:v>Opieka nad dziećmi (żłobki i przedszkola)</c:v>
                </c:pt>
                <c:pt idx="8">
                  <c:v>Stan i dostępność infrastruktury sportowej </c:v>
                </c:pt>
                <c:pt idx="9">
                  <c:v>Oferta kulturalno-rozrywkowa</c:v>
                </c:pt>
                <c:pt idx="10">
                  <c:v>Standard i dostępność mieszkań</c:v>
                </c:pt>
                <c:pt idx="11">
                  <c:v>Możliwości znalezienia pracy w gminie</c:v>
                </c:pt>
                <c:pt idx="12">
                  <c:v>Dostęp do usług służby zdrowia</c:v>
                </c:pt>
                <c:pt idx="13">
                  <c:v>Dostępność infrastruktury publicznej dla osób niepełnosprawnych</c:v>
                </c:pt>
              </c:strCache>
            </c:strRef>
          </c:cat>
          <c:val>
            <c:numRef>
              <c:f>raport!$E$35:$E$48</c:f>
              <c:numCache>
                <c:formatCode>0.00%</c:formatCode>
                <c:ptCount val="14"/>
                <c:pt idx="0">
                  <c:v>0.4</c:v>
                </c:pt>
                <c:pt idx="1">
                  <c:v>0.26666666666666666</c:v>
                </c:pt>
                <c:pt idx="2">
                  <c:v>0.34444444444444444</c:v>
                </c:pt>
                <c:pt idx="3">
                  <c:v>0.37777777777777777</c:v>
                </c:pt>
                <c:pt idx="4">
                  <c:v>0.37777777777777777</c:v>
                </c:pt>
                <c:pt idx="5">
                  <c:v>0.33333333333333331</c:v>
                </c:pt>
                <c:pt idx="6">
                  <c:v>0.28888888888888886</c:v>
                </c:pt>
                <c:pt idx="7">
                  <c:v>0.22222222222222221</c:v>
                </c:pt>
                <c:pt idx="8">
                  <c:v>0.28888888888888886</c:v>
                </c:pt>
                <c:pt idx="9">
                  <c:v>0.37777777777777777</c:v>
                </c:pt>
                <c:pt idx="10">
                  <c:v>0.28888888888888886</c:v>
                </c:pt>
                <c:pt idx="11">
                  <c:v>0.16666666666666666</c:v>
                </c:pt>
                <c:pt idx="12">
                  <c:v>0.35555555555555557</c:v>
                </c:pt>
                <c:pt idx="13">
                  <c:v>0.52222222222222225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D5-4C94-91E5-5FD57EE01AEA}"/>
            </c:ext>
          </c:extLst>
        </c:ser>
        <c:ser>
          <c:idx val="3"/>
          <c:order val="3"/>
          <c:tx>
            <c:strRef>
              <c:f>raport!$F$34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8183421516756458E-3"/>
                  <c:y val="-1.68598524762907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091710758377423E-3"/>
                  <c:y val="-1.26448893572181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833869257269799E-17"/>
                  <c:y val="-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0833869257269799E-17"/>
                  <c:y val="-4.21496311907263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2.1074815595363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6137566137565327E-3"/>
                  <c:y val="-6.3224446786089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6137566137566134E-3"/>
                  <c:y val="-2.1074815595363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0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3.0864197530864196E-2"/>
                  <c:y val="-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4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"/>
                  <c:y val="-1.2644889357217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8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2.2045855379188711E-3"/>
                  <c:y val="-8.4299262381454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C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raport!$B$35:$B$48</c:f>
              <c:strCache>
                <c:ptCount val="14"/>
                <c:pt idx="0">
                  <c:v>Estetyka i czystość w gminie</c:v>
                </c:pt>
                <c:pt idx="1">
                  <c:v>Bezpieczeństwo mieszkańców</c:v>
                </c:pt>
                <c:pt idx="2">
                  <c:v>Ekologia i gospodarka odpadami </c:v>
                </c:pt>
                <c:pt idx="3">
                  <c:v>Zieleń komunalna </c:v>
                </c:pt>
                <c:pt idx="4">
                  <c:v>Stan dróg</c:v>
                </c:pt>
                <c:pt idx="5">
                  <c:v>Stan chodników</c:v>
                </c:pt>
                <c:pt idx="6">
                  <c:v>Jakość oświaty na poziomie podstawowym </c:v>
                </c:pt>
                <c:pt idx="7">
                  <c:v>Opieka nad dziećmi (żłobki i przedszkola)</c:v>
                </c:pt>
                <c:pt idx="8">
                  <c:v>Stan i dostępność infrastruktury sportowej </c:v>
                </c:pt>
                <c:pt idx="9">
                  <c:v>Oferta kulturalno-rozrywkowa</c:v>
                </c:pt>
                <c:pt idx="10">
                  <c:v>Standard i dostępność mieszkań</c:v>
                </c:pt>
                <c:pt idx="11">
                  <c:v>Możliwości znalezienia pracy w gminie</c:v>
                </c:pt>
                <c:pt idx="12">
                  <c:v>Dostęp do usług służby zdrowia</c:v>
                </c:pt>
                <c:pt idx="13">
                  <c:v>Dostępność infrastruktury publicznej dla osób niepełnosprawnych</c:v>
                </c:pt>
              </c:strCache>
            </c:strRef>
          </c:cat>
          <c:val>
            <c:numRef>
              <c:f>raport!$F$35:$F$48</c:f>
              <c:numCache>
                <c:formatCode>0.00%</c:formatCode>
                <c:ptCount val="14"/>
                <c:pt idx="0">
                  <c:v>0.41111111111111109</c:v>
                </c:pt>
                <c:pt idx="1">
                  <c:v>0.51111111111111107</c:v>
                </c:pt>
                <c:pt idx="2">
                  <c:v>0.34444444444444444</c:v>
                </c:pt>
                <c:pt idx="3">
                  <c:v>0.3</c:v>
                </c:pt>
                <c:pt idx="4">
                  <c:v>0.25555555555555554</c:v>
                </c:pt>
                <c:pt idx="5">
                  <c:v>0.24444444444444444</c:v>
                </c:pt>
                <c:pt idx="6">
                  <c:v>0.45555555555555555</c:v>
                </c:pt>
                <c:pt idx="7">
                  <c:v>0.46666666666666667</c:v>
                </c:pt>
                <c:pt idx="8">
                  <c:v>0.41111111111111109</c:v>
                </c:pt>
                <c:pt idx="9">
                  <c:v>0.21111111111111111</c:v>
                </c:pt>
                <c:pt idx="10">
                  <c:v>0.14444444444444443</c:v>
                </c:pt>
                <c:pt idx="11">
                  <c:v>4.4444444444444446E-2</c:v>
                </c:pt>
                <c:pt idx="12">
                  <c:v>0.34444444444444444</c:v>
                </c:pt>
                <c:pt idx="13">
                  <c:v>0.23333333333333334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CD5-4C94-91E5-5FD57EE01AEA}"/>
            </c:ext>
          </c:extLst>
        </c:ser>
        <c:ser>
          <c:idx val="4"/>
          <c:order val="4"/>
          <c:tx>
            <c:strRef>
              <c:f>raport!$G$34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6137566137566134E-3"/>
                  <c:y val="-8.4299262381454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091710758376616E-3"/>
                  <c:y val="-4.2149631190727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4091710758377423E-3"/>
                  <c:y val="-2.10748155953631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4091710758377423E-3"/>
                  <c:y val="-4.21496311907266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4.2149631190727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2045855379188711E-3"/>
                  <c:y val="-4.2149631190727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0833869257269799E-17"/>
                  <c:y val="-6.3224446786090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0833869257269799E-17"/>
                  <c:y val="-8.4299262381454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4091710758377423E-3"/>
                  <c:y val="-4.21496311907263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4.21496311907263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8.4299262381454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1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4.2149631190727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5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1022927689594356E-2"/>
                  <c:y val="-4.2149631190727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9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4091710758377423E-3"/>
                  <c:y val="-6.3224446786089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D-7CD5-4C94-91E5-5FD57EE01AE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raport!$B$35:$B$48</c:f>
              <c:strCache>
                <c:ptCount val="14"/>
                <c:pt idx="0">
                  <c:v>Estetyka i czystość w gminie</c:v>
                </c:pt>
                <c:pt idx="1">
                  <c:v>Bezpieczeństwo mieszkańców</c:v>
                </c:pt>
                <c:pt idx="2">
                  <c:v>Ekologia i gospodarka odpadami </c:v>
                </c:pt>
                <c:pt idx="3">
                  <c:v>Zieleń komunalna </c:v>
                </c:pt>
                <c:pt idx="4">
                  <c:v>Stan dróg</c:v>
                </c:pt>
                <c:pt idx="5">
                  <c:v>Stan chodników</c:v>
                </c:pt>
                <c:pt idx="6">
                  <c:v>Jakość oświaty na poziomie podstawowym </c:v>
                </c:pt>
                <c:pt idx="7">
                  <c:v>Opieka nad dziećmi (żłobki i przedszkola)</c:v>
                </c:pt>
                <c:pt idx="8">
                  <c:v>Stan i dostępność infrastruktury sportowej </c:v>
                </c:pt>
                <c:pt idx="9">
                  <c:v>Oferta kulturalno-rozrywkowa</c:v>
                </c:pt>
                <c:pt idx="10">
                  <c:v>Standard i dostępność mieszkań</c:v>
                </c:pt>
                <c:pt idx="11">
                  <c:v>Możliwości znalezienia pracy w gminie</c:v>
                </c:pt>
                <c:pt idx="12">
                  <c:v>Dostęp do usług służby zdrowia</c:v>
                </c:pt>
                <c:pt idx="13">
                  <c:v>Dostępność infrastruktury publicznej dla osób niepełnosprawnych</c:v>
                </c:pt>
              </c:strCache>
            </c:strRef>
          </c:cat>
          <c:val>
            <c:numRef>
              <c:f>raport!$G$35:$G$48</c:f>
              <c:numCache>
                <c:formatCode>0.00%</c:formatCode>
                <c:ptCount val="14"/>
                <c:pt idx="0">
                  <c:v>5.5555555555555552E-2</c:v>
                </c:pt>
                <c:pt idx="1">
                  <c:v>0.15555555555555556</c:v>
                </c:pt>
                <c:pt idx="2">
                  <c:v>0.12222222222222222</c:v>
                </c:pt>
                <c:pt idx="3">
                  <c:v>0.1111111111111111</c:v>
                </c:pt>
                <c:pt idx="4">
                  <c:v>2.2222222222222223E-2</c:v>
                </c:pt>
                <c:pt idx="5">
                  <c:v>1.1111111111111112E-2</c:v>
                </c:pt>
                <c:pt idx="6">
                  <c:v>0.1111111111111111</c:v>
                </c:pt>
                <c:pt idx="7">
                  <c:v>0.27777777777777779</c:v>
                </c:pt>
                <c:pt idx="8">
                  <c:v>0.16666666666666666</c:v>
                </c:pt>
                <c:pt idx="9">
                  <c:v>7.7777777777777779E-2</c:v>
                </c:pt>
                <c:pt idx="10">
                  <c:v>1.1111111111111112E-2</c:v>
                </c:pt>
                <c:pt idx="11">
                  <c:v>1.1111111111111112E-2</c:v>
                </c:pt>
                <c:pt idx="12">
                  <c:v>4.4444444444444446E-2</c:v>
                </c:pt>
                <c:pt idx="13">
                  <c:v>2.2222222222222223E-2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CD5-4C94-91E5-5FD57EE01A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8556968"/>
        <c:axId val="488557360"/>
      </c:barChart>
      <c:catAx>
        <c:axId val="4885569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8557360"/>
        <c:crosses val="autoZero"/>
        <c:auto val="1"/>
        <c:lblAlgn val="ctr"/>
        <c:lblOffset val="100"/>
        <c:noMultiLvlLbl val="0"/>
      </c:catAx>
      <c:valAx>
        <c:axId val="4885573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8556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raport!$B$55:$B$69</c:f>
              <c:strCache>
                <c:ptCount val="15"/>
                <c:pt idx="0">
                  <c:v>Estetyka i czystość w gminie</c:v>
                </c:pt>
                <c:pt idx="1">
                  <c:v>Bezpieczeństwo mieszkańców</c:v>
                </c:pt>
                <c:pt idx="2">
                  <c:v>Ekologia i gospodarka odpadami </c:v>
                </c:pt>
                <c:pt idx="3">
                  <c:v>Zieleń komunalna </c:v>
                </c:pt>
                <c:pt idx="4">
                  <c:v>Stan dróg</c:v>
                </c:pt>
                <c:pt idx="5">
                  <c:v>Stan chodników</c:v>
                </c:pt>
                <c:pt idx="6">
                  <c:v>Jakość oświaty na poziomie podstawowym </c:v>
                </c:pt>
                <c:pt idx="7">
                  <c:v>Opieka nad dziećmi (żłobki i przedszkola)</c:v>
                </c:pt>
                <c:pt idx="8">
                  <c:v>Stan i dostępność infrastruktury sportowej </c:v>
                </c:pt>
                <c:pt idx="9">
                  <c:v>Oferta kulturalno-rozrywkowa</c:v>
                </c:pt>
                <c:pt idx="10">
                  <c:v>Standard i dostępność mieszkań</c:v>
                </c:pt>
                <c:pt idx="11">
                  <c:v>Możliwości znalezienia pracy w gminie</c:v>
                </c:pt>
                <c:pt idx="12">
                  <c:v>Dostęp do usług służby zdrowia</c:v>
                </c:pt>
                <c:pt idx="13">
                  <c:v>Dostępność infrastruktury publicznej dla osób niepełnosprawnych</c:v>
                </c:pt>
                <c:pt idx="14">
                  <c:v>Inne </c:v>
                </c:pt>
              </c:strCache>
            </c:strRef>
          </c:cat>
          <c:val>
            <c:numRef>
              <c:f>raport!$D$55:$D$69</c:f>
              <c:numCache>
                <c:formatCode>0.00%</c:formatCode>
                <c:ptCount val="15"/>
                <c:pt idx="0">
                  <c:v>2.4096385542168676E-2</c:v>
                </c:pt>
                <c:pt idx="1">
                  <c:v>4.0160642570281124E-2</c:v>
                </c:pt>
                <c:pt idx="2">
                  <c:v>7.6305220883534142E-2</c:v>
                </c:pt>
                <c:pt idx="3">
                  <c:v>1.6064257028112448E-2</c:v>
                </c:pt>
                <c:pt idx="4">
                  <c:v>0.20080321285140562</c:v>
                </c:pt>
                <c:pt idx="5">
                  <c:v>0.16867469879518071</c:v>
                </c:pt>
                <c:pt idx="6">
                  <c:v>2.8112449799196786E-2</c:v>
                </c:pt>
                <c:pt idx="7">
                  <c:v>1.6064257028112448E-2</c:v>
                </c:pt>
                <c:pt idx="8">
                  <c:v>2.4096385542168676E-2</c:v>
                </c:pt>
                <c:pt idx="9">
                  <c:v>5.2208835341365459E-2</c:v>
                </c:pt>
                <c:pt idx="10">
                  <c:v>4.8192771084337352E-2</c:v>
                </c:pt>
                <c:pt idx="11">
                  <c:v>0.20080321285140562</c:v>
                </c:pt>
                <c:pt idx="12">
                  <c:v>6.0240963855421686E-2</c:v>
                </c:pt>
                <c:pt idx="13">
                  <c:v>0</c:v>
                </c:pt>
                <c:pt idx="14">
                  <c:v>4.4176706827309238E-2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6F-45EE-B530-CA7167F1FC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9550440"/>
        <c:axId val="609551224"/>
      </c:barChart>
      <c:catAx>
        <c:axId val="609550440"/>
        <c:scaling>
          <c:orientation val="maxMin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9551224"/>
        <c:crosses val="autoZero"/>
        <c:auto val="1"/>
        <c:lblAlgn val="ctr"/>
        <c:lblOffset val="100"/>
        <c:noMultiLvlLbl val="0"/>
      </c:catAx>
      <c:valAx>
        <c:axId val="60955122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9550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raport!$B$76:$B$81</c:f>
              <c:strCache>
                <c:ptCount val="6"/>
                <c:pt idx="0">
                  <c:v>0 (bardzo niski poziom rozwoju)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 (bardzo wysoki poziom rozwoju) </c:v>
                </c:pt>
              </c:strCache>
            </c:strRef>
          </c:cat>
          <c:val>
            <c:numRef>
              <c:f>raport!$D$76:$D$81</c:f>
              <c:numCache>
                <c:formatCode>0.00%</c:formatCode>
                <c:ptCount val="6"/>
                <c:pt idx="0">
                  <c:v>2.2222222222222223E-2</c:v>
                </c:pt>
                <c:pt idx="1">
                  <c:v>0.1</c:v>
                </c:pt>
                <c:pt idx="2">
                  <c:v>0.25555555555555554</c:v>
                </c:pt>
                <c:pt idx="3">
                  <c:v>0.43333333333333335</c:v>
                </c:pt>
                <c:pt idx="4">
                  <c:v>0.15555555555555556</c:v>
                </c:pt>
                <c:pt idx="5">
                  <c:v>3.3333333333333333E-2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3C-4193-8583-FD0665E11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69876024"/>
        <c:axId val="669876416"/>
      </c:barChart>
      <c:catAx>
        <c:axId val="669876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876416"/>
        <c:crosses val="autoZero"/>
        <c:auto val="1"/>
        <c:lblAlgn val="ctr"/>
        <c:lblOffset val="100"/>
        <c:noMultiLvlLbl val="0"/>
      </c:catAx>
      <c:valAx>
        <c:axId val="66987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876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raport!$B$88:$B$98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 (pewne)</c:v>
                </c:pt>
              </c:strCache>
            </c:strRef>
          </c:cat>
          <c:val>
            <c:numRef>
              <c:f>raport!$D$88:$D$98</c:f>
              <c:numCache>
                <c:formatCode>0.00%</c:formatCode>
                <c:ptCount val="11"/>
                <c:pt idx="0">
                  <c:v>1.1111111111111112E-2</c:v>
                </c:pt>
                <c:pt idx="1">
                  <c:v>2.2222222222222223E-2</c:v>
                </c:pt>
                <c:pt idx="2">
                  <c:v>5.5555555555555552E-2</c:v>
                </c:pt>
                <c:pt idx="3">
                  <c:v>0.2</c:v>
                </c:pt>
                <c:pt idx="4">
                  <c:v>0.1111111111111111</c:v>
                </c:pt>
                <c:pt idx="5">
                  <c:v>0.17777777777777778</c:v>
                </c:pt>
                <c:pt idx="6">
                  <c:v>0.13333333333333333</c:v>
                </c:pt>
                <c:pt idx="7">
                  <c:v>6.6666666666666666E-2</c:v>
                </c:pt>
                <c:pt idx="8">
                  <c:v>0.15555555555555556</c:v>
                </c:pt>
                <c:pt idx="9">
                  <c:v>3.3333333333333333E-2</c:v>
                </c:pt>
                <c:pt idx="10">
                  <c:v>3.3333333333333333E-2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F4-4EEB-BF8A-A14B180F90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6518520"/>
        <c:axId val="487752656"/>
      </c:barChart>
      <c:catAx>
        <c:axId val="496518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7752656"/>
        <c:crosses val="autoZero"/>
        <c:auto val="1"/>
        <c:lblAlgn val="ctr"/>
        <c:lblOffset val="100"/>
        <c:noMultiLvlLbl val="0"/>
      </c:catAx>
      <c:valAx>
        <c:axId val="48775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518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raport!$B$105:$B$113</c:f>
              <c:strCache>
                <c:ptCount val="9"/>
                <c:pt idx="0">
                  <c:v>Możliwość zamieszkania w dużym mieście </c:v>
                </c:pt>
                <c:pt idx="1">
                  <c:v>Możliwość zamieszkania bliżej natury</c:v>
                </c:pt>
                <c:pt idx="2">
                  <c:v>Możliwość wyjazdu za granicę</c:v>
                </c:pt>
                <c:pt idx="3">
                  <c:v>Względy zawodowe – możliwość znalezienia dobrej pracy/założenia działalności gospodarczej</c:v>
                </c:pt>
                <c:pt idx="4">
                  <c:v>Względy osobiste – chęć mieszkania bliżej krewnych, powrót do miejsca urodzenia</c:v>
                </c:pt>
                <c:pt idx="5">
                  <c:v>Uwarunkowania związane z edukacją i samorozwojem np. podjęcie studiów wyższych</c:v>
                </c:pt>
                <c:pt idx="6">
                  <c:v>Osobista potrzeba zmiany otoczenia</c:v>
                </c:pt>
                <c:pt idx="7">
                  <c:v>Nic, zdecydowanie nie opuściłbym obecnego miejsca zamieszkania</c:v>
                </c:pt>
                <c:pt idx="8">
                  <c:v>Inne </c:v>
                </c:pt>
              </c:strCache>
            </c:strRef>
          </c:cat>
          <c:val>
            <c:numRef>
              <c:f>raport!$D$105:$D$113</c:f>
              <c:numCache>
                <c:formatCode>0.00%</c:formatCode>
                <c:ptCount val="9"/>
                <c:pt idx="0">
                  <c:v>5.5555555555555552E-2</c:v>
                </c:pt>
                <c:pt idx="1">
                  <c:v>3.3333333333333333E-2</c:v>
                </c:pt>
                <c:pt idx="2">
                  <c:v>5.5555555555555552E-2</c:v>
                </c:pt>
                <c:pt idx="3">
                  <c:v>0.45555555555555555</c:v>
                </c:pt>
                <c:pt idx="4">
                  <c:v>0.1</c:v>
                </c:pt>
                <c:pt idx="5">
                  <c:v>5.5555555555555552E-2</c:v>
                </c:pt>
                <c:pt idx="6">
                  <c:v>6.6666666666666666E-2</c:v>
                </c:pt>
                <c:pt idx="7">
                  <c:v>0.16666666666666666</c:v>
                </c:pt>
                <c:pt idx="8">
                  <c:v>1.1111111111111112E-2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79-4A52-8975-561E05283F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79341776"/>
        <c:axId val="679342168"/>
      </c:barChart>
      <c:catAx>
        <c:axId val="679341776"/>
        <c:scaling>
          <c:orientation val="maxMin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9342168"/>
        <c:crosses val="autoZero"/>
        <c:auto val="1"/>
        <c:lblAlgn val="ctr"/>
        <c:lblOffset val="100"/>
        <c:noMultiLvlLbl val="0"/>
      </c:catAx>
      <c:valAx>
        <c:axId val="67934216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934177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raport!$B$120:$B$128</c:f>
              <c:strCache>
                <c:ptCount val="9"/>
                <c:pt idx="0">
                  <c:v>Rozwój gospodarczy, wspieranie przedsiębiorczości mieszkańców</c:v>
                </c:pt>
                <c:pt idx="1">
                  <c:v>Pełniejsze wykorzystanie potencjału turystycznego</c:v>
                </c:pt>
                <c:pt idx="2">
                  <c:v>Działania na rzecz podtrzymywania i kultywowania lokalnych tradycji</c:v>
                </c:pt>
                <c:pt idx="3">
                  <c:v>Ekologia i poszanowanie środowiska naturalnego</c:v>
                </c:pt>
                <c:pt idx="4">
                  <c:v>Poprawa jakości życia mieszkańców</c:v>
                </c:pt>
                <c:pt idx="5">
                  <c:v>Rozwój społeczeństwa informacyjnego</c:v>
                </c:pt>
                <c:pt idx="6">
                  <c:v>Poprawa komunikacji z miastem powiatowym (Brzozów), z miastami regionu (np. Sanok, Rzeszów), z innymi gminami w regionie </c:v>
                </c:pt>
                <c:pt idx="7">
                  <c:v>Promocja i wzmacnianie marki Gminy</c:v>
                </c:pt>
                <c:pt idx="8">
                  <c:v>Inne </c:v>
                </c:pt>
              </c:strCache>
            </c:strRef>
          </c:cat>
          <c:val>
            <c:numRef>
              <c:f>raport!$D$120:$D$128</c:f>
              <c:numCache>
                <c:formatCode>0%</c:formatCode>
                <c:ptCount val="9"/>
                <c:pt idx="0">
                  <c:v>0.24472573839662448</c:v>
                </c:pt>
                <c:pt idx="1">
                  <c:v>0.15189873417721519</c:v>
                </c:pt>
                <c:pt idx="2">
                  <c:v>5.4852320675105488E-2</c:v>
                </c:pt>
                <c:pt idx="3">
                  <c:v>9.7046413502109699E-2</c:v>
                </c:pt>
                <c:pt idx="4">
                  <c:v>0.20675105485232068</c:v>
                </c:pt>
                <c:pt idx="5">
                  <c:v>3.3755274261603373E-2</c:v>
                </c:pt>
                <c:pt idx="6">
                  <c:v>0.16033755274261605</c:v>
                </c:pt>
                <c:pt idx="7">
                  <c:v>2.1097046413502109E-2</c:v>
                </c:pt>
                <c:pt idx="8">
                  <c:v>2.9535864978902954E-2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65-491B-9DE8-1AAEF94250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79344128"/>
        <c:axId val="679344520"/>
      </c:barChart>
      <c:catAx>
        <c:axId val="679344128"/>
        <c:scaling>
          <c:orientation val="maxMin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9344520"/>
        <c:crosses val="autoZero"/>
        <c:auto val="1"/>
        <c:lblAlgn val="ctr"/>
        <c:lblOffset val="100"/>
        <c:noMultiLvlLbl val="0"/>
      </c:catAx>
      <c:valAx>
        <c:axId val="6793445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934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FC6E6-F2AF-41E7-9EEF-2944F226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14584</CharactersWithSpaces>
  <SharedDoc>false</SharedDoc>
  <HLinks>
    <vt:vector size="6" baseType="variant"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mailto:biuro@respublic.pl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Kazem-Bek</dc:creator>
  <cp:lastModifiedBy>justyna</cp:lastModifiedBy>
  <cp:revision>2</cp:revision>
  <cp:lastPrinted>2015-06-15T12:50:00Z</cp:lastPrinted>
  <dcterms:created xsi:type="dcterms:W3CDTF">2021-06-29T11:23:00Z</dcterms:created>
  <dcterms:modified xsi:type="dcterms:W3CDTF">2021-06-29T11:23:00Z</dcterms:modified>
</cp:coreProperties>
</file>